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Pr>
        <w:pStyle w:val="Heading2"/>
        <w:rPr>
          <w:rFonts w:ascii="Arial" w:hAnsi="Arial" w:cs="Arial"/>
          <w:b/>
          <w:sz w:val="20"/>
        </w:rPr>
      </w:pPr>
      <w:bookmarkStart w:id="0" w:name="_GoBack"/>
      <w:bookmarkEnd w:id="0"/>
      <w:r>
        <w:rPr>
          <w:rFonts w:ascii="Arial" w:hAnsi="Arial" w:cs="Arial"/>
          <w:b/>
          <w:sz w:val="20"/>
        </w:rPr>
        <w:t>POSITION ANNOUNCEMENT</w:t>
      </w:r>
    </w:p>
    <w:p w:rsidR="000A4C09" w:rsidRDefault="000A4C09" w:rsidP="000A4C09">
      <w:pPr>
        <w:rPr>
          <w:rFonts w:ascii="Arial" w:hAnsi="Arial" w:cs="Arial"/>
          <w:b/>
          <w:bCs/>
          <w:sz w:val="20"/>
        </w:rPr>
      </w:pPr>
    </w:p>
    <w:p w:rsidR="000A4C09" w:rsidRDefault="000A4C09" w:rsidP="000A4C09">
      <w:pPr>
        <w:rPr>
          <w:rFonts w:ascii="Arial" w:hAnsi="Arial" w:cs="Arial"/>
          <w:i/>
          <w:iCs/>
          <w:sz w:val="20"/>
        </w:rPr>
      </w:pPr>
      <w:r>
        <w:rPr>
          <w:rFonts w:ascii="Arial" w:hAnsi="Arial" w:cs="Arial"/>
          <w:b/>
          <w:bCs/>
          <w:sz w:val="20"/>
        </w:rPr>
        <w:t>POSITION AREA:</w:t>
      </w:r>
      <w:r>
        <w:rPr>
          <w:rFonts w:ascii="Arial" w:hAnsi="Arial" w:cs="Arial"/>
          <w:sz w:val="20"/>
        </w:rPr>
        <w:t xml:space="preserve">  </w:t>
      </w:r>
      <w:r w:rsidR="008837B6" w:rsidRPr="008837B6">
        <w:rPr>
          <w:rFonts w:ascii="Arial" w:hAnsi="Arial" w:cs="Arial"/>
          <w:sz w:val="20"/>
        </w:rPr>
        <w:t xml:space="preserve">Laboratory Technician Assistant </w:t>
      </w:r>
    </w:p>
    <w:p w:rsidR="000A4C09" w:rsidRDefault="000A4C09" w:rsidP="000A4C09">
      <w:pPr>
        <w:rPr>
          <w:rFonts w:ascii="Arial" w:hAnsi="Arial" w:cs="Arial"/>
          <w:b/>
          <w:i/>
          <w:iCs/>
          <w:sz w:val="20"/>
        </w:rPr>
      </w:pPr>
    </w:p>
    <w:p w:rsidR="008837B6" w:rsidRDefault="000A4C09" w:rsidP="008837B6">
      <w:pPr>
        <w:rPr>
          <w:rFonts w:ascii="Arial" w:hAnsi="Arial" w:cs="Arial"/>
          <w:sz w:val="20"/>
        </w:rPr>
      </w:pPr>
      <w:r w:rsidRPr="008837B6">
        <w:rPr>
          <w:rFonts w:ascii="Arial" w:hAnsi="Arial" w:cs="Arial"/>
          <w:b/>
          <w:bCs/>
          <w:sz w:val="20"/>
        </w:rPr>
        <w:t>POSITION DUTIES</w:t>
      </w:r>
      <w:r w:rsidRPr="008837B6">
        <w:rPr>
          <w:rFonts w:ascii="Arial" w:hAnsi="Arial" w:cs="Arial"/>
          <w:sz w:val="20"/>
        </w:rPr>
        <w:t>:</w:t>
      </w:r>
    </w:p>
    <w:p w:rsidR="000A4C09" w:rsidRPr="008837B6" w:rsidRDefault="008837B6" w:rsidP="008837B6">
      <w:pPr>
        <w:pStyle w:val="ListParagraph"/>
        <w:numPr>
          <w:ilvl w:val="0"/>
          <w:numId w:val="9"/>
        </w:numPr>
        <w:rPr>
          <w:rFonts w:ascii="Arial" w:hAnsi="Arial" w:cs="Arial"/>
          <w:sz w:val="20"/>
        </w:rPr>
      </w:pPr>
      <w:r w:rsidRPr="008837B6">
        <w:rPr>
          <w:rFonts w:ascii="Arial" w:hAnsi="Arial" w:cs="Arial"/>
          <w:sz w:val="20"/>
        </w:rPr>
        <w:t>Set up laboratory materials for schedule sessions</w:t>
      </w:r>
    </w:p>
    <w:p w:rsidR="008837B6" w:rsidRPr="008837B6" w:rsidRDefault="008837B6" w:rsidP="008837B6">
      <w:pPr>
        <w:pStyle w:val="ListParagraph"/>
        <w:numPr>
          <w:ilvl w:val="0"/>
          <w:numId w:val="9"/>
        </w:numPr>
        <w:rPr>
          <w:rFonts w:ascii="Arial" w:hAnsi="Arial" w:cs="Arial"/>
          <w:sz w:val="20"/>
        </w:rPr>
      </w:pPr>
      <w:r w:rsidRPr="008837B6">
        <w:rPr>
          <w:rFonts w:ascii="Arial" w:hAnsi="Arial" w:cs="Arial"/>
          <w:sz w:val="20"/>
        </w:rPr>
        <w:t>Assist in the preparation of reagents according to standard protocols</w:t>
      </w:r>
    </w:p>
    <w:p w:rsidR="008837B6" w:rsidRPr="008837B6" w:rsidRDefault="008837B6" w:rsidP="008837B6">
      <w:pPr>
        <w:pStyle w:val="ListParagraph"/>
        <w:numPr>
          <w:ilvl w:val="0"/>
          <w:numId w:val="9"/>
        </w:numPr>
        <w:rPr>
          <w:rFonts w:ascii="Arial" w:hAnsi="Arial" w:cs="Arial"/>
          <w:sz w:val="20"/>
        </w:rPr>
      </w:pPr>
      <w:r w:rsidRPr="008837B6">
        <w:rPr>
          <w:rFonts w:ascii="Arial" w:hAnsi="Arial" w:cs="Arial"/>
          <w:sz w:val="20"/>
        </w:rPr>
        <w:t>Clean and maintain lab glassware and instruments</w:t>
      </w:r>
    </w:p>
    <w:p w:rsidR="008837B6" w:rsidRPr="008837B6" w:rsidRDefault="008837B6" w:rsidP="008837B6">
      <w:pPr>
        <w:pStyle w:val="ListParagraph"/>
        <w:numPr>
          <w:ilvl w:val="0"/>
          <w:numId w:val="9"/>
        </w:numPr>
        <w:rPr>
          <w:rFonts w:ascii="Arial" w:hAnsi="Arial" w:cs="Arial"/>
          <w:sz w:val="20"/>
        </w:rPr>
      </w:pPr>
      <w:r w:rsidRPr="008837B6">
        <w:rPr>
          <w:rFonts w:ascii="Arial" w:hAnsi="Arial" w:cs="Arial"/>
          <w:sz w:val="20"/>
        </w:rPr>
        <w:t>Perform inventory on lab supplies</w:t>
      </w:r>
    </w:p>
    <w:p w:rsidR="000A4C09" w:rsidRDefault="000A4C09" w:rsidP="000A4C09">
      <w:pPr>
        <w:rPr>
          <w:rFonts w:ascii="Arial" w:hAnsi="Arial" w:cs="Arial"/>
          <w:sz w:val="20"/>
        </w:rPr>
      </w:pPr>
    </w:p>
    <w:p w:rsidR="000A4C09" w:rsidRDefault="000A4C09" w:rsidP="000A4C09">
      <w:pPr>
        <w:autoSpaceDE w:val="0"/>
        <w:autoSpaceDN w:val="0"/>
        <w:adjustRightInd w:val="0"/>
        <w:rPr>
          <w:rStyle w:val="Strong"/>
          <w:rFonts w:ascii="Arial" w:hAnsi="Arial" w:cs="Arial"/>
          <w:sz w:val="20"/>
          <w:highlight w:val="yellow"/>
        </w:rPr>
      </w:pPr>
      <w:r>
        <w:rPr>
          <w:rStyle w:val="Strong"/>
          <w:rFonts w:ascii="Arial" w:hAnsi="Arial" w:cs="Arial"/>
          <w:sz w:val="20"/>
        </w:rPr>
        <w:t>MINIMUM QUALIFICATIONS:</w:t>
      </w:r>
      <w:r w:rsidR="00BF7FD5">
        <w:rPr>
          <w:rStyle w:val="Strong"/>
          <w:rFonts w:ascii="Arial" w:hAnsi="Arial" w:cs="Arial"/>
          <w:sz w:val="20"/>
        </w:rPr>
        <w:t xml:space="preserve"> </w:t>
      </w:r>
    </w:p>
    <w:p w:rsidR="00D2292E" w:rsidRDefault="00D2292E" w:rsidP="000A4C09">
      <w:pPr>
        <w:autoSpaceDE w:val="0"/>
        <w:autoSpaceDN w:val="0"/>
        <w:adjustRightInd w:val="0"/>
        <w:rPr>
          <w:rStyle w:val="Strong"/>
        </w:rPr>
      </w:pPr>
    </w:p>
    <w:p w:rsidR="000A4C09" w:rsidRPr="008837B6" w:rsidRDefault="000A4C09" w:rsidP="000A4C09">
      <w:pPr>
        <w:numPr>
          <w:ilvl w:val="0"/>
          <w:numId w:val="7"/>
        </w:numPr>
        <w:autoSpaceDE w:val="0"/>
        <w:autoSpaceDN w:val="0"/>
        <w:adjustRightInd w:val="0"/>
        <w:rPr>
          <w:rStyle w:val="Strong"/>
          <w:rFonts w:ascii="Arial" w:hAnsi="Arial" w:cs="Arial"/>
          <w:b w:val="0"/>
          <w:sz w:val="20"/>
        </w:rPr>
      </w:pPr>
      <w:r w:rsidRPr="008837B6">
        <w:rPr>
          <w:rStyle w:val="Strong"/>
          <w:rFonts w:ascii="Arial" w:hAnsi="Arial" w:cs="Arial"/>
          <w:b w:val="0"/>
          <w:sz w:val="20"/>
        </w:rPr>
        <w:t>Computer skills</w:t>
      </w:r>
    </w:p>
    <w:p w:rsidR="000A4C09" w:rsidRPr="008837B6" w:rsidRDefault="000A4C09" w:rsidP="000A4C09">
      <w:pPr>
        <w:numPr>
          <w:ilvl w:val="0"/>
          <w:numId w:val="7"/>
        </w:numPr>
        <w:autoSpaceDE w:val="0"/>
        <w:autoSpaceDN w:val="0"/>
        <w:adjustRightInd w:val="0"/>
        <w:rPr>
          <w:rStyle w:val="Strong"/>
          <w:rFonts w:ascii="Arial" w:hAnsi="Arial" w:cs="Arial"/>
          <w:b w:val="0"/>
          <w:sz w:val="20"/>
        </w:rPr>
      </w:pPr>
      <w:r w:rsidRPr="008837B6">
        <w:rPr>
          <w:rStyle w:val="Strong"/>
          <w:rFonts w:ascii="Arial" w:hAnsi="Arial" w:cs="Arial"/>
          <w:b w:val="0"/>
          <w:sz w:val="20"/>
        </w:rPr>
        <w:t>Ability to work well with others</w:t>
      </w:r>
    </w:p>
    <w:p w:rsidR="000A4C09" w:rsidRPr="008837B6" w:rsidRDefault="000A4C09" w:rsidP="000A4C09">
      <w:pPr>
        <w:numPr>
          <w:ilvl w:val="0"/>
          <w:numId w:val="7"/>
        </w:numPr>
        <w:autoSpaceDE w:val="0"/>
        <w:autoSpaceDN w:val="0"/>
        <w:adjustRightInd w:val="0"/>
        <w:rPr>
          <w:rStyle w:val="Strong"/>
          <w:rFonts w:ascii="Arial" w:hAnsi="Arial" w:cs="Arial"/>
          <w:b w:val="0"/>
          <w:sz w:val="20"/>
        </w:rPr>
      </w:pPr>
      <w:r w:rsidRPr="008837B6">
        <w:rPr>
          <w:rStyle w:val="Strong"/>
          <w:rFonts w:ascii="Arial" w:hAnsi="Arial" w:cs="Arial"/>
          <w:b w:val="0"/>
          <w:sz w:val="20"/>
        </w:rPr>
        <w:t>Organizational and filing skills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870D74">
      <w:pPr>
        <w:spacing w:after="60"/>
        <w:ind w:firstLine="5"/>
        <w:jc w:val="both"/>
        <w:rPr>
          <w:rStyle w:val="Hyperlink"/>
          <w:rFonts w:ascii="Calibri" w:eastAsia="Calibri" w:hAnsi="Calibri" w:cs="Calibri"/>
          <w:iCs/>
          <w:sz w:val="18"/>
          <w:szCs w:val="18"/>
        </w:rPr>
      </w:pPr>
      <w:bookmarkStart w:id="1"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1"/>
    </w:p>
    <w:p w:rsidR="00870D74" w:rsidRDefault="00870D74" w:rsidP="00870D74">
      <w:pPr>
        <w:spacing w:after="60"/>
        <w:ind w:firstLine="5"/>
        <w:jc w:val="both"/>
        <w:rPr>
          <w:rFonts w:ascii="Calibri" w:hAnsi="Calibri" w:cs="Arial"/>
          <w:b/>
          <w:bCs/>
          <w:i/>
          <w:iCs/>
        </w:rPr>
      </w:pPr>
    </w:p>
    <w:p w:rsidR="000A4C09" w:rsidRDefault="000A4C09" w:rsidP="000A4C0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p w:rsidR="001A19ED" w:rsidRPr="000A4C09" w:rsidRDefault="001A19ED" w:rsidP="000A4C09"/>
    <w:sectPr w:rsidR="001A19ED" w:rsidRPr="000A4C09" w:rsidSect="00870D7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9D258F"/>
    <w:multiLevelType w:val="hybridMultilevel"/>
    <w:tmpl w:val="CCBA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3"/>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E4FF2"/>
    <w:rsid w:val="004F2038"/>
    <w:rsid w:val="005B681D"/>
    <w:rsid w:val="005E6AA9"/>
    <w:rsid w:val="005F3AA8"/>
    <w:rsid w:val="005F467C"/>
    <w:rsid w:val="00870D74"/>
    <w:rsid w:val="008772CD"/>
    <w:rsid w:val="008837B6"/>
    <w:rsid w:val="008902B5"/>
    <w:rsid w:val="00973CE7"/>
    <w:rsid w:val="009C3ECF"/>
    <w:rsid w:val="00BF7FD5"/>
    <w:rsid w:val="00C3672F"/>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6CB1"/>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dcterms:created xsi:type="dcterms:W3CDTF">2025-09-29T18:12:00Z</dcterms:created>
  <dcterms:modified xsi:type="dcterms:W3CDTF">2025-09-29T18:12:00Z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