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3690"/>
        <w:gridCol w:w="840"/>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764FA0" w:rsidP="00E56A82">
            <w:pPr>
              <w:jc w:val="center"/>
              <w:rPr>
                <w:rFonts w:ascii="Garamond" w:hAnsi="Garamond"/>
                <w:b/>
                <w:bCs/>
                <w:color w:val="FF0000"/>
                <w:sz w:val="32"/>
                <w:szCs w:val="22"/>
              </w:rPr>
            </w:pPr>
            <w:r>
              <w:rPr>
                <w:rFonts w:ascii="Garamond" w:hAnsi="Garamond"/>
                <w:b/>
                <w:bCs/>
                <w:color w:val="FF0000"/>
                <w:sz w:val="32"/>
                <w:szCs w:val="22"/>
              </w:rPr>
              <w:t xml:space="preserve">Barbering </w:t>
            </w:r>
            <w:r w:rsidR="00CD101A">
              <w:rPr>
                <w:rFonts w:ascii="Garamond" w:hAnsi="Garamond"/>
                <w:b/>
                <w:bCs/>
                <w:color w:val="FF0000"/>
                <w:sz w:val="32"/>
                <w:szCs w:val="22"/>
              </w:rPr>
              <w:t xml:space="preserve">Adjunct </w:t>
            </w:r>
            <w:r>
              <w:rPr>
                <w:rFonts w:ascii="Garamond" w:hAnsi="Garamond"/>
                <w:b/>
                <w:bCs/>
                <w:color w:val="FF0000"/>
                <w:sz w:val="32"/>
                <w:szCs w:val="22"/>
              </w:rPr>
              <w:t>Instructor</w:t>
            </w:r>
            <w:r w:rsidR="00A27388">
              <w:rPr>
                <w:rFonts w:ascii="Garamond" w:hAnsi="Garamond"/>
                <w:b/>
                <w:bCs/>
                <w:color w:val="FF0000"/>
                <w:sz w:val="32"/>
                <w:szCs w:val="22"/>
              </w:rPr>
              <w:t xml:space="preserve"> </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tcPr>
          <w:p w:rsidR="00E56A82" w:rsidRPr="00710526" w:rsidRDefault="00A27388" w:rsidP="00027497">
            <w:pPr>
              <w:jc w:val="both"/>
              <w:rPr>
                <w:rFonts w:ascii="Garamond" w:hAnsi="Garamond"/>
                <w:sz w:val="18"/>
                <w:szCs w:val="18"/>
              </w:rPr>
            </w:pPr>
            <w:r>
              <w:rPr>
                <w:rFonts w:ascii="Garamond" w:hAnsi="Garamond"/>
                <w:sz w:val="18"/>
                <w:szCs w:val="18"/>
              </w:rPr>
              <w:t xml:space="preserve">Americus </w:t>
            </w:r>
            <w:r w:rsidR="003F0B95">
              <w:rPr>
                <w:rFonts w:ascii="Garamond" w:hAnsi="Garamond"/>
                <w:sz w:val="18"/>
                <w:szCs w:val="18"/>
              </w:rPr>
              <w:t>Campus</w:t>
            </w:r>
            <w:r w:rsidR="00843E85">
              <w:rPr>
                <w:rFonts w:ascii="Garamond" w:hAnsi="Garamond"/>
                <w:sz w:val="18"/>
                <w:szCs w:val="18"/>
              </w:rPr>
              <w:t xml:space="preserve"> </w:t>
            </w:r>
            <w:bookmarkStart w:id="0" w:name="_GoBack"/>
            <w:bookmarkEnd w:id="0"/>
          </w:p>
        </w:tc>
      </w:tr>
      <w:tr w:rsidR="006710FD" w:rsidRPr="002873DF" w:rsidTr="00DE1A43">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AB3D36" w:rsidRPr="00710526" w:rsidRDefault="00CD101A" w:rsidP="00C44B7B">
            <w:pPr>
              <w:jc w:val="both"/>
              <w:rPr>
                <w:rFonts w:ascii="Garamond" w:hAnsi="Garamond" w:cs="Calibri"/>
                <w:sz w:val="18"/>
                <w:szCs w:val="18"/>
              </w:rPr>
            </w:pPr>
            <w:r w:rsidRPr="00CD101A">
              <w:rPr>
                <w:rFonts w:ascii="Garamond" w:hAnsi="Garamond" w:cs="Calibri"/>
                <w:sz w:val="18"/>
                <w:szCs w:val="18"/>
              </w:rPr>
              <w:t>Under general supervision, will provide instruction to students in Barbering courses. Demonstrates use of appropriate teaching techniques and testing and grading procedures including proper maintenance of grade books and any other appropriate record-keeping required. Understands and is experienced in practices and procedures in the barbering field. Follows appropriate course syllab</w:t>
            </w:r>
            <w:r>
              <w:rPr>
                <w:rFonts w:ascii="Garamond" w:hAnsi="Garamond" w:cs="Calibri"/>
                <w:sz w:val="18"/>
                <w:szCs w:val="18"/>
              </w:rPr>
              <w:t>us</w:t>
            </w:r>
            <w:r w:rsidRPr="00CD101A">
              <w:rPr>
                <w:rFonts w:ascii="Garamond" w:hAnsi="Garamond" w:cs="Calibri"/>
                <w:sz w:val="18"/>
                <w:szCs w:val="18"/>
              </w:rPr>
              <w:t>. Completes all documentation related to assigned courses in a timely manner and maintains an accurate inventory of all assigned property.  Day and night classes may be available based on scheduling needs. Other duties as assigned.</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rsidR="00077C30" w:rsidRPr="00710526" w:rsidRDefault="00CD101A" w:rsidP="00C44B7B">
            <w:pPr>
              <w:pStyle w:val="Default"/>
              <w:jc w:val="both"/>
              <w:rPr>
                <w:rFonts w:ascii="Garamond" w:hAnsi="Garamond" w:cs="Calibri"/>
                <w:color w:val="auto"/>
                <w:sz w:val="18"/>
                <w:szCs w:val="18"/>
              </w:rPr>
            </w:pPr>
            <w:r w:rsidRPr="00CD101A">
              <w:rPr>
                <w:rFonts w:ascii="Garamond" w:hAnsi="Garamond" w:cs="Calibri"/>
                <w:color w:val="auto"/>
                <w:sz w:val="18"/>
                <w:szCs w:val="18"/>
              </w:rPr>
              <w:t>A diploma in Barbering or related field from a regionally accredited college or university with verifiable credentials, qualifications, or competencies appropriate for teaching the course content</w:t>
            </w:r>
            <w:r w:rsidR="00843E85">
              <w:rPr>
                <w:rFonts w:ascii="Garamond" w:hAnsi="Garamond" w:cs="Calibri"/>
                <w:color w:val="auto"/>
                <w:sz w:val="18"/>
                <w:szCs w:val="18"/>
              </w:rPr>
              <w:t xml:space="preserve"> and/or work experience. </w:t>
            </w:r>
            <w:r w:rsidRPr="00CD101A">
              <w:rPr>
                <w:rFonts w:ascii="Garamond" w:hAnsi="Garamond" w:cs="Calibri"/>
                <w:color w:val="auto"/>
                <w:sz w:val="18"/>
                <w:szCs w:val="18"/>
              </w:rPr>
              <w:t xml:space="preserve"> Must possess current Master Barbering License from </w:t>
            </w:r>
            <w:r w:rsidR="00473960">
              <w:rPr>
                <w:rFonts w:ascii="Garamond" w:hAnsi="Garamond" w:cs="Calibri"/>
                <w:color w:val="auto"/>
                <w:sz w:val="18"/>
                <w:szCs w:val="18"/>
              </w:rPr>
              <w:t xml:space="preserve">the </w:t>
            </w:r>
            <w:r w:rsidRPr="00CD101A">
              <w:rPr>
                <w:rFonts w:ascii="Garamond" w:hAnsi="Garamond" w:cs="Calibri"/>
                <w:color w:val="auto"/>
                <w:sz w:val="18"/>
                <w:szCs w:val="18"/>
              </w:rPr>
              <w:t>State of GA.</w:t>
            </w: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843E85" w:rsidP="00C44B7B">
            <w:pPr>
              <w:jc w:val="both"/>
              <w:rPr>
                <w:rFonts w:ascii="Garamond" w:hAnsi="Garamond"/>
                <w:color w:val="000000"/>
                <w:sz w:val="18"/>
                <w:szCs w:val="18"/>
              </w:rPr>
            </w:pPr>
            <w:r w:rsidRPr="00CD101A">
              <w:rPr>
                <w:rFonts w:ascii="Garamond" w:hAnsi="Garamond" w:cs="Calibri"/>
                <w:sz w:val="18"/>
                <w:szCs w:val="18"/>
              </w:rPr>
              <w:t>A diploma in Barbering or related field from a regionally accredited college or university with verifiable credentials, qualifications, or competencies appropriate for teaching the course content</w:t>
            </w:r>
            <w:r>
              <w:rPr>
                <w:rFonts w:ascii="Garamond" w:hAnsi="Garamond" w:cs="Calibri"/>
                <w:sz w:val="18"/>
                <w:szCs w:val="18"/>
              </w:rPr>
              <w:t xml:space="preserve"> and/or work experience. </w:t>
            </w:r>
            <w:r w:rsidRPr="00CD101A">
              <w:rPr>
                <w:rFonts w:ascii="Garamond" w:hAnsi="Garamond" w:cs="Calibri"/>
                <w:sz w:val="18"/>
                <w:szCs w:val="18"/>
              </w:rPr>
              <w:t xml:space="preserve"> Must possess current Master Barbering License from </w:t>
            </w:r>
            <w:r>
              <w:rPr>
                <w:rFonts w:ascii="Garamond" w:hAnsi="Garamond" w:cs="Calibri"/>
                <w:sz w:val="18"/>
                <w:szCs w:val="18"/>
              </w:rPr>
              <w:t xml:space="preserve">the </w:t>
            </w:r>
            <w:r w:rsidRPr="00CD101A">
              <w:rPr>
                <w:rFonts w:ascii="Garamond" w:hAnsi="Garamond" w:cs="Calibri"/>
                <w:sz w:val="18"/>
                <w:szCs w:val="18"/>
              </w:rPr>
              <w:t>State of GA.</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843E85" w:rsidP="00027497">
            <w:pPr>
              <w:jc w:val="both"/>
              <w:rPr>
                <w:rFonts w:ascii="Garamond" w:hAnsi="Garamond"/>
                <w:sz w:val="18"/>
                <w:szCs w:val="18"/>
              </w:rPr>
            </w:pPr>
            <w:r w:rsidRPr="00CD101A">
              <w:rPr>
                <w:rFonts w:ascii="Garamond" w:hAnsi="Garamond" w:cs="Calibri"/>
                <w:sz w:val="18"/>
                <w:szCs w:val="18"/>
              </w:rPr>
              <w:t xml:space="preserve">Must have been employed in </w:t>
            </w:r>
            <w:r>
              <w:rPr>
                <w:rFonts w:ascii="Garamond" w:hAnsi="Garamond" w:cs="Calibri"/>
                <w:sz w:val="18"/>
                <w:szCs w:val="18"/>
              </w:rPr>
              <w:t xml:space="preserve">the </w:t>
            </w:r>
            <w:r w:rsidRPr="00CD101A">
              <w:rPr>
                <w:rFonts w:ascii="Garamond" w:hAnsi="Garamond" w:cs="Calibri"/>
                <w:sz w:val="18"/>
                <w:szCs w:val="18"/>
              </w:rPr>
              <w:t xml:space="preserve">field in at least three of the last seven years.  Strong written and verbal communication skills.  Excellent interpersonal and teamwork skills.  Must be student oriented and customer friendly.  </w:t>
            </w:r>
            <w:r w:rsidR="00CD101A" w:rsidRPr="00CD101A">
              <w:rPr>
                <w:rFonts w:ascii="Garamond" w:hAnsi="Garamond"/>
                <w:sz w:val="18"/>
                <w:szCs w:val="18"/>
              </w:rPr>
              <w:t>Possess current Barber Instructor License from State of GA.</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BF6AD7" w:rsidP="00CD2029">
            <w:pPr>
              <w:jc w:val="right"/>
              <w:rPr>
                <w:rFonts w:ascii="Garamond" w:hAnsi="Garamond"/>
                <w:b/>
                <w:bCs/>
                <w:color w:val="FF0000"/>
                <w:sz w:val="22"/>
                <w:szCs w:val="22"/>
              </w:rPr>
            </w:pPr>
            <w:r>
              <w:rPr>
                <w:rFonts w:ascii="Garamond" w:hAnsi="Garamond"/>
                <w:b/>
                <w:bCs/>
                <w:color w:val="FF0000"/>
                <w:sz w:val="22"/>
                <w:szCs w:val="22"/>
              </w:rPr>
              <w:t>Physical Demands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CD101A" w:rsidP="00027497">
            <w:pPr>
              <w:jc w:val="both"/>
              <w:rPr>
                <w:rFonts w:ascii="Garamond" w:hAnsi="Garamond"/>
                <w:sz w:val="18"/>
                <w:szCs w:val="18"/>
              </w:rPr>
            </w:pPr>
            <w:r w:rsidRPr="00CD101A">
              <w:rPr>
                <w:rFonts w:ascii="Garamond" w:hAnsi="Garamond"/>
                <w:sz w:val="18"/>
                <w:szCs w:val="18"/>
              </w:rPr>
              <w:t>Work is typically performed in a classroom/lab environment with the employee intermittently sitting, standing, walking, bending, pushing, and pulling for three (3) – four (4) continuous hours at a time. The employee frequently lifts lightweight objects up to 25 LBS. The work is performed in campus buildings. The ability to speak clearly is required. The ability to hear and understand at a normal conversational level is required.</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 xml:space="preserve">Candidates must pass a criminal background check </w:t>
            </w:r>
            <w:r w:rsidR="00764FA0">
              <w:rPr>
                <w:rFonts w:ascii="Garamond" w:hAnsi="Garamond"/>
                <w:sz w:val="18"/>
                <w:szCs w:val="18"/>
              </w:rPr>
              <w:t xml:space="preserve">and </w:t>
            </w:r>
            <w:r w:rsidRPr="00BF6AD7">
              <w:rPr>
                <w:rFonts w:ascii="Garamond" w:hAnsi="Garamond"/>
                <w:sz w:val="18"/>
                <w:szCs w:val="18"/>
              </w:rPr>
              <w:t>MVR</w:t>
            </w:r>
            <w:r w:rsidR="00764FA0">
              <w:rPr>
                <w:rFonts w:ascii="Garamond" w:hAnsi="Garamond"/>
                <w:sz w:val="18"/>
                <w:szCs w:val="18"/>
              </w:rPr>
              <w:t>.</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684E65" w:rsidRPr="00710526" w:rsidRDefault="00CD101A" w:rsidP="00027497">
            <w:pPr>
              <w:jc w:val="both"/>
              <w:rPr>
                <w:rFonts w:ascii="Garamond" w:hAnsi="Garamond"/>
                <w:sz w:val="18"/>
                <w:szCs w:val="18"/>
              </w:rPr>
            </w:pPr>
            <w:r w:rsidRPr="00CD101A">
              <w:rPr>
                <w:rFonts w:ascii="Garamond" w:hAnsi="Garamond"/>
                <w:sz w:val="18"/>
                <w:szCs w:val="18"/>
              </w:rPr>
              <w:t>Commensurate with education and experience</w:t>
            </w: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CD1150" w:rsidRPr="00710526" w:rsidRDefault="00CD101A" w:rsidP="00027497">
            <w:pPr>
              <w:jc w:val="both"/>
              <w:rPr>
                <w:rFonts w:ascii="Garamond" w:hAnsi="Garamond"/>
                <w:sz w:val="18"/>
                <w:szCs w:val="18"/>
              </w:rPr>
            </w:pPr>
            <w:r w:rsidRPr="00CD101A">
              <w:rPr>
                <w:rFonts w:ascii="Garamond" w:hAnsi="Garamond"/>
                <w:sz w:val="18"/>
                <w:szCs w:val="18"/>
              </w:rPr>
              <w:t>All adjunct positions are part-time temporary, less than 25 hours per week, based on student enrollment each term, and do not include benefits or a promise of future full-time employment.</w:t>
            </w: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843E85" w:rsidP="00027497">
            <w:pPr>
              <w:jc w:val="both"/>
              <w:rPr>
                <w:rFonts w:ascii="Garamond" w:hAnsi="Garamond"/>
                <w:sz w:val="18"/>
                <w:szCs w:val="18"/>
              </w:rPr>
            </w:pPr>
            <w:r>
              <w:rPr>
                <w:rFonts w:ascii="Garamond" w:hAnsi="Garamond"/>
                <w:sz w:val="18"/>
                <w:szCs w:val="18"/>
              </w:rPr>
              <w:t>Dean of Academic Affairs and Full Time Barbering Instructor</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CE677E">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369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CD101A" w:rsidP="009E70A8">
            <w:pPr>
              <w:jc w:val="both"/>
              <w:rPr>
                <w:rFonts w:ascii="Garamond" w:hAnsi="Garamond"/>
                <w:sz w:val="16"/>
                <w:szCs w:val="20"/>
              </w:rPr>
            </w:pPr>
            <w:r>
              <w:rPr>
                <w:rFonts w:ascii="Garamond" w:hAnsi="Garamond"/>
                <w:sz w:val="16"/>
                <w:szCs w:val="20"/>
              </w:rPr>
              <w:t>00192269</w:t>
            </w:r>
          </w:p>
        </w:tc>
        <w:tc>
          <w:tcPr>
            <w:tcW w:w="84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CD101A" w:rsidP="009E70A8">
            <w:pPr>
              <w:jc w:val="both"/>
              <w:rPr>
                <w:rFonts w:ascii="Garamond" w:hAnsi="Garamond"/>
                <w:sz w:val="16"/>
                <w:szCs w:val="20"/>
              </w:rPr>
            </w:pPr>
            <w:r>
              <w:rPr>
                <w:rFonts w:ascii="Garamond" w:hAnsi="Garamond"/>
                <w:sz w:val="16"/>
                <w:szCs w:val="20"/>
              </w:rPr>
              <w:t>60001</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89" w:rsidRDefault="003C4A89">
      <w:r>
        <w:separator/>
      </w:r>
    </w:p>
  </w:endnote>
  <w:endnote w:type="continuationSeparator" w:id="0">
    <w:p w:rsidR="003C4A89" w:rsidRDefault="003C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89" w:rsidRDefault="003C4A89">
      <w:r>
        <w:separator/>
      </w:r>
    </w:p>
  </w:footnote>
  <w:footnote w:type="continuationSeparator" w:id="0">
    <w:p w:rsidR="003C4A89" w:rsidRDefault="003C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25724"/>
    <w:rsid w:val="00130490"/>
    <w:rsid w:val="00142EA4"/>
    <w:rsid w:val="00145CFD"/>
    <w:rsid w:val="001467F3"/>
    <w:rsid w:val="0017152A"/>
    <w:rsid w:val="001A3A67"/>
    <w:rsid w:val="001B1F3D"/>
    <w:rsid w:val="001B60F4"/>
    <w:rsid w:val="001F371C"/>
    <w:rsid w:val="0022415F"/>
    <w:rsid w:val="00272F9C"/>
    <w:rsid w:val="002873DF"/>
    <w:rsid w:val="002C2A99"/>
    <w:rsid w:val="003C4A89"/>
    <w:rsid w:val="003F0B95"/>
    <w:rsid w:val="003F7061"/>
    <w:rsid w:val="004272F4"/>
    <w:rsid w:val="00437701"/>
    <w:rsid w:val="00473960"/>
    <w:rsid w:val="00482312"/>
    <w:rsid w:val="004967A6"/>
    <w:rsid w:val="004A4A11"/>
    <w:rsid w:val="004C25BF"/>
    <w:rsid w:val="004E0E0D"/>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6C6361"/>
    <w:rsid w:val="006E2028"/>
    <w:rsid w:val="006E286D"/>
    <w:rsid w:val="00710526"/>
    <w:rsid w:val="00714A62"/>
    <w:rsid w:val="00764FA0"/>
    <w:rsid w:val="007C5D65"/>
    <w:rsid w:val="007E74DE"/>
    <w:rsid w:val="00801629"/>
    <w:rsid w:val="00804524"/>
    <w:rsid w:val="0083259C"/>
    <w:rsid w:val="00843E85"/>
    <w:rsid w:val="008538D5"/>
    <w:rsid w:val="00861980"/>
    <w:rsid w:val="00877879"/>
    <w:rsid w:val="008B0314"/>
    <w:rsid w:val="008E3674"/>
    <w:rsid w:val="00901EB3"/>
    <w:rsid w:val="0091536F"/>
    <w:rsid w:val="00921C4F"/>
    <w:rsid w:val="00934E94"/>
    <w:rsid w:val="0097167C"/>
    <w:rsid w:val="00972370"/>
    <w:rsid w:val="009840EA"/>
    <w:rsid w:val="00984C27"/>
    <w:rsid w:val="009B76D8"/>
    <w:rsid w:val="009E70A8"/>
    <w:rsid w:val="00A24CB6"/>
    <w:rsid w:val="00A27388"/>
    <w:rsid w:val="00A647AE"/>
    <w:rsid w:val="00AA4B3F"/>
    <w:rsid w:val="00AB3D36"/>
    <w:rsid w:val="00B03D6D"/>
    <w:rsid w:val="00B322A4"/>
    <w:rsid w:val="00B379D6"/>
    <w:rsid w:val="00B737DC"/>
    <w:rsid w:val="00B93E9B"/>
    <w:rsid w:val="00BB3613"/>
    <w:rsid w:val="00BC2587"/>
    <w:rsid w:val="00BF6423"/>
    <w:rsid w:val="00BF6AD7"/>
    <w:rsid w:val="00C35FA3"/>
    <w:rsid w:val="00C44B7B"/>
    <w:rsid w:val="00C44C3F"/>
    <w:rsid w:val="00C536EF"/>
    <w:rsid w:val="00C82963"/>
    <w:rsid w:val="00C9276A"/>
    <w:rsid w:val="00CB3632"/>
    <w:rsid w:val="00CD101A"/>
    <w:rsid w:val="00CD1150"/>
    <w:rsid w:val="00CD2029"/>
    <w:rsid w:val="00CE677E"/>
    <w:rsid w:val="00D44D04"/>
    <w:rsid w:val="00D75841"/>
    <w:rsid w:val="00D821F8"/>
    <w:rsid w:val="00D829C1"/>
    <w:rsid w:val="00DE1A43"/>
    <w:rsid w:val="00E56A82"/>
    <w:rsid w:val="00E657F3"/>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EFB7D"/>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C761-7F10-497C-95F6-95381952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8</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3294</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Partain, Julie</cp:lastModifiedBy>
  <cp:revision>2</cp:revision>
  <cp:lastPrinted>2023-11-01T14:23:00Z</cp:lastPrinted>
  <dcterms:created xsi:type="dcterms:W3CDTF">2025-07-08T18:55:00Z</dcterms:created>
  <dcterms:modified xsi:type="dcterms:W3CDTF">2025-07-08T18:55:00Z</dcterms:modified>
</cp:coreProperties>
</file>