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663F" w14:textId="1C08EAC9" w:rsidR="00CD1936" w:rsidRPr="00CD1936" w:rsidRDefault="001E37AC" w:rsidP="00CD1936">
      <w:pPr>
        <w:rPr>
          <w:rFonts w:ascii="Franklin Gothic Book" w:hAnsi="Franklin Gothic Book" w:cs="Arial"/>
          <w:b/>
          <w:bCs/>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2309F3BB" wp14:editId="46C19100">
            <wp:simplePos x="0" y="0"/>
            <wp:positionH relativeFrom="column">
              <wp:posOffset>4241165</wp:posOffset>
            </wp:positionH>
            <wp:positionV relativeFrom="paragraph">
              <wp:posOffset>-55880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7AC">
        <w:rPr>
          <w:rFonts w:ascii="Franklin Gothic Book" w:hAnsi="Franklin Gothic Book" w:cs="Arial"/>
          <w:b/>
          <w:bCs/>
          <w:noProof/>
          <w:color w:val="1F4E79"/>
          <w:sz w:val="28"/>
          <w:szCs w:val="28"/>
        </w:rPr>
        <w:t>MEDICAL LABORATORY TECHNOLOGY</w:t>
      </w:r>
      <w:r w:rsidR="00CD1936" w:rsidRPr="00CD1936">
        <w:rPr>
          <w:rFonts w:ascii="Franklin Gothic Book" w:hAnsi="Franklin Gothic Book" w:cs="Arial"/>
          <w:b/>
          <w:bCs/>
          <w:noProof/>
          <w:color w:val="1F4E79"/>
          <w:sz w:val="28"/>
          <w:szCs w:val="28"/>
        </w:rPr>
        <w:t xml:space="preserve"> </w:t>
      </w:r>
    </w:p>
    <w:p w14:paraId="32966FF4" w14:textId="2D226A8C" w:rsidR="000C6864" w:rsidRPr="0030069F" w:rsidRDefault="00D91AFC" w:rsidP="00CD1936">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 xml:space="preserve">Program Director </w:t>
      </w:r>
      <w:r w:rsidR="0030069F">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002D3BC1" w:rsidRPr="0030069F">
        <w:rPr>
          <w:rStyle w:val="Strong"/>
          <w:rFonts w:ascii="Franklin Gothic Book" w:hAnsi="Franklin Gothic Book" w:cs="Arial"/>
          <w:color w:val="1F4E79"/>
          <w:sz w:val="26"/>
          <w:szCs w:val="26"/>
        </w:rPr>
        <w:t>TIME</w:t>
      </w:r>
      <w:r w:rsidR="0030069F">
        <w:rPr>
          <w:rStyle w:val="Strong"/>
          <w:rFonts w:ascii="Franklin Gothic Book" w:hAnsi="Franklin Gothic Book" w:cs="Arial"/>
          <w:color w:val="1F4E79"/>
          <w:sz w:val="26"/>
          <w:szCs w:val="26"/>
        </w:rPr>
        <w:t>)</w:t>
      </w:r>
    </w:p>
    <w:p w14:paraId="20256618" w14:textId="77B98023" w:rsidR="0030069F" w:rsidRDefault="00AE5250" w:rsidP="001E37AC">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7AAA3BAF" w14:textId="4FD0A9B6" w:rsidR="001E37AC" w:rsidRDefault="00FE1BE8" w:rsidP="001E37AC">
      <w:pPr>
        <w:pStyle w:val="NoSpacing"/>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Multiple Campus Locations</w:t>
      </w:r>
    </w:p>
    <w:p w14:paraId="4BBD4BA9" w14:textId="77777777" w:rsidR="001E37AC" w:rsidRPr="001E37AC" w:rsidRDefault="001E37AC" w:rsidP="001E37AC">
      <w:pPr>
        <w:pStyle w:val="NoSpacing"/>
        <w:rPr>
          <w:rFonts w:ascii="Franklin Gothic Book" w:hAnsi="Franklin Gothic Book" w:cs="Arial"/>
          <w:b/>
          <w:bCs/>
          <w:color w:val="1F4E79"/>
          <w:sz w:val="28"/>
          <w:szCs w:val="28"/>
        </w:rPr>
      </w:pPr>
    </w:p>
    <w:p w14:paraId="4347A462" w14:textId="77777777" w:rsidR="00D91AFC" w:rsidRDefault="00D91AFC" w:rsidP="00D43C66">
      <w:pPr>
        <w:rPr>
          <w:rFonts w:ascii="Franklin Gothic Book" w:hAnsi="Franklin Gothic Book" w:cs="Arial"/>
          <w:b/>
          <w:bCs/>
          <w:color w:val="1F4E79"/>
          <w:sz w:val="20"/>
          <w:szCs w:val="20"/>
        </w:rPr>
      </w:pPr>
    </w:p>
    <w:p w14:paraId="1B5E4588" w14:textId="77777777" w:rsidR="00D91AFC" w:rsidRDefault="00D91AFC" w:rsidP="00D43C66">
      <w:pPr>
        <w:rPr>
          <w:rFonts w:ascii="Franklin Gothic Book" w:hAnsi="Franklin Gothic Book" w:cs="Arial"/>
          <w:b/>
          <w:bCs/>
          <w:color w:val="1F4E79"/>
          <w:sz w:val="20"/>
          <w:szCs w:val="20"/>
        </w:rPr>
      </w:pPr>
    </w:p>
    <w:p w14:paraId="315590E2" w14:textId="77777777" w:rsidR="00D91AFC" w:rsidRPr="00D91AFC" w:rsidRDefault="00D91AFC" w:rsidP="00D91AFC">
      <w:pPr>
        <w:autoSpaceDE w:val="0"/>
        <w:autoSpaceDN w:val="0"/>
        <w:adjustRightInd w:val="0"/>
        <w:rPr>
          <w:rFonts w:ascii="Franklin Gothic Book" w:hAnsi="Franklin Gothic Book" w:cs="Arial"/>
          <w:bCs/>
        </w:rPr>
      </w:pPr>
      <w:r w:rsidRPr="00D91AFC">
        <w:rPr>
          <w:rFonts w:ascii="Franklin Gothic Book" w:hAnsi="Franklin Gothic Book" w:cs="Arial"/>
          <w:bCs/>
        </w:rPr>
        <w:t>The Program Director for the Medical Laboratory Technology (MLT) program provides leadership, administration, and oversight of all program functions to ensure compliance with accreditation standards established by the NAACLS, as well as policies of the Technical College System of Georgia and Southern Crescent Technical College.</w:t>
      </w:r>
    </w:p>
    <w:p w14:paraId="7F46E4B5" w14:textId="77777777" w:rsidR="00D91AFC" w:rsidRPr="00D91AFC" w:rsidRDefault="00D91AFC" w:rsidP="00D91AFC">
      <w:pPr>
        <w:autoSpaceDE w:val="0"/>
        <w:autoSpaceDN w:val="0"/>
        <w:adjustRightInd w:val="0"/>
        <w:rPr>
          <w:rFonts w:ascii="Franklin Gothic Book" w:hAnsi="Franklin Gothic Book" w:cs="Arial"/>
          <w:bCs/>
        </w:rPr>
      </w:pPr>
    </w:p>
    <w:p w14:paraId="3AA3F2F6" w14:textId="77777777" w:rsidR="00D91AFC" w:rsidRPr="00D91AFC" w:rsidRDefault="00D91AFC" w:rsidP="00D91AFC">
      <w:pPr>
        <w:autoSpaceDE w:val="0"/>
        <w:autoSpaceDN w:val="0"/>
        <w:adjustRightInd w:val="0"/>
        <w:rPr>
          <w:rFonts w:ascii="Franklin Gothic Book" w:hAnsi="Franklin Gothic Book" w:cs="Arial"/>
          <w:bCs/>
        </w:rPr>
      </w:pPr>
      <w:r w:rsidRPr="00D91AFC">
        <w:rPr>
          <w:rFonts w:ascii="Franklin Gothic Book" w:hAnsi="Franklin Gothic Book" w:cs="Arial"/>
          <w:bCs/>
        </w:rPr>
        <w:t>This position is responsible for curriculum development, accreditation compliance, student success, faculty supervision, and clinical partnership management. The Program Director serves as the primary liaison between the college, clinical affiliates, and accrediting bodies, ensuring the program produces competent, workforce-ready graduates.</w:t>
      </w:r>
    </w:p>
    <w:p w14:paraId="264B994B" w14:textId="77777777" w:rsidR="00D91AFC" w:rsidRDefault="00D91AFC" w:rsidP="00D43C66">
      <w:pPr>
        <w:rPr>
          <w:rFonts w:ascii="Franklin Gothic Book" w:hAnsi="Franklin Gothic Book" w:cs="Arial"/>
          <w:b/>
          <w:bCs/>
          <w:color w:val="1F4E79"/>
          <w:sz w:val="20"/>
          <w:szCs w:val="20"/>
        </w:rPr>
      </w:pPr>
    </w:p>
    <w:p w14:paraId="0E42BCE7" w14:textId="77777777" w:rsidR="00D91AFC" w:rsidRDefault="00D91AFC" w:rsidP="00D43C66">
      <w:pPr>
        <w:rPr>
          <w:rFonts w:ascii="Franklin Gothic Book" w:hAnsi="Franklin Gothic Book" w:cs="Arial"/>
          <w:b/>
          <w:bCs/>
          <w:color w:val="1F4E79"/>
          <w:sz w:val="20"/>
          <w:szCs w:val="20"/>
        </w:rPr>
      </w:pPr>
    </w:p>
    <w:p w14:paraId="55CA6116" w14:textId="3D44AA36"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4FFB75F0" w14:textId="77777777" w:rsidR="00B06AED" w:rsidRPr="006052F6" w:rsidRDefault="00B06AED" w:rsidP="00D43C66">
      <w:pPr>
        <w:rPr>
          <w:rFonts w:ascii="Franklin Gothic Book" w:hAnsi="Franklin Gothic Book" w:cs="Arial"/>
          <w:b/>
          <w:bCs/>
          <w:color w:val="1F4E79"/>
          <w:sz w:val="10"/>
          <w:szCs w:val="10"/>
        </w:rPr>
      </w:pPr>
    </w:p>
    <w:p w14:paraId="12A5BD03" w14:textId="6A06F398" w:rsidR="00D91AFC" w:rsidRDefault="001E37AC" w:rsidP="001E37AC">
      <w:pPr>
        <w:autoSpaceDE w:val="0"/>
        <w:autoSpaceDN w:val="0"/>
        <w:adjustRightInd w:val="0"/>
        <w:rPr>
          <w:rFonts w:ascii="Franklin Gothic Book" w:hAnsi="Franklin Gothic Book" w:cs="Arial"/>
          <w:bCs/>
        </w:rPr>
      </w:pPr>
      <w:r w:rsidRPr="001E37AC">
        <w:rPr>
          <w:rFonts w:ascii="Franklin Gothic Book" w:hAnsi="Franklin Gothic Book" w:cs="Arial"/>
          <w:bCs/>
        </w:rPr>
        <w:t xml:space="preserve">Applicants must hold a </w:t>
      </w:r>
      <w:r w:rsidR="00056276">
        <w:rPr>
          <w:rFonts w:ascii="Franklin Gothic Book" w:hAnsi="Franklin Gothic Book" w:cs="Arial"/>
          <w:bCs/>
        </w:rPr>
        <w:t xml:space="preserve">masters </w:t>
      </w:r>
      <w:r w:rsidRPr="001E37AC">
        <w:rPr>
          <w:rFonts w:ascii="Franklin Gothic Book" w:hAnsi="Franklin Gothic Book" w:cs="Arial"/>
          <w:bCs/>
        </w:rPr>
        <w:t>degree in Medical Laboratory Science, Medical Laboratory Technology, Clinical Laboratory Science, or a closely related laboratory science field from a regionally accredited institution.</w:t>
      </w:r>
      <w:r>
        <w:rPr>
          <w:rFonts w:ascii="Franklin Gothic Book" w:hAnsi="Franklin Gothic Book" w:cs="Arial"/>
          <w:bCs/>
        </w:rPr>
        <w:t xml:space="preserve"> </w:t>
      </w:r>
      <w:r w:rsidRPr="001E37AC">
        <w:rPr>
          <w:rFonts w:ascii="Franklin Gothic Book" w:hAnsi="Franklin Gothic Book" w:cs="Arial"/>
          <w:bCs/>
        </w:rPr>
        <w:t xml:space="preserve">Applicants must also hold current national certification </w:t>
      </w:r>
      <w:r w:rsidR="00056276">
        <w:rPr>
          <w:rFonts w:ascii="Franklin Gothic Book" w:hAnsi="Franklin Gothic Book" w:cs="Arial"/>
          <w:bCs/>
        </w:rPr>
        <w:t xml:space="preserve">such </w:t>
      </w:r>
      <w:r w:rsidRPr="001E37AC">
        <w:rPr>
          <w:rFonts w:ascii="Franklin Gothic Book" w:hAnsi="Franklin Gothic Book" w:cs="Arial"/>
          <w:bCs/>
        </w:rPr>
        <w:t>as a Medical Laboratory Scientist (MLS), Medical Technologist (MT), or Medical Laboratory Technician (MLT) through a recognized certifying agency such as the American Society for Clinical Pathology (ASCP), American Medical Technologists (AMT), or an equivalent certifying body recognized by NAACLS.</w:t>
      </w:r>
      <w:r>
        <w:rPr>
          <w:rFonts w:ascii="Franklin Gothic Book" w:hAnsi="Franklin Gothic Book" w:cs="Arial"/>
          <w:bCs/>
        </w:rPr>
        <w:t xml:space="preserve"> </w:t>
      </w:r>
    </w:p>
    <w:p w14:paraId="68F7FFA9" w14:textId="77777777" w:rsidR="00D91AFC" w:rsidRDefault="00D91AFC" w:rsidP="001E37AC">
      <w:pPr>
        <w:autoSpaceDE w:val="0"/>
        <w:autoSpaceDN w:val="0"/>
        <w:adjustRightInd w:val="0"/>
        <w:rPr>
          <w:rFonts w:ascii="Franklin Gothic Book" w:hAnsi="Franklin Gothic Book" w:cs="Arial"/>
          <w:bCs/>
        </w:rPr>
      </w:pPr>
    </w:p>
    <w:p w14:paraId="3A173A1D" w14:textId="7A033555" w:rsidR="001E37AC" w:rsidRPr="001E37AC" w:rsidRDefault="001E37AC" w:rsidP="001E37AC">
      <w:pPr>
        <w:autoSpaceDE w:val="0"/>
        <w:autoSpaceDN w:val="0"/>
        <w:adjustRightInd w:val="0"/>
        <w:rPr>
          <w:rFonts w:ascii="Franklin Gothic Book" w:hAnsi="Franklin Gothic Book" w:cs="Arial"/>
          <w:bCs/>
        </w:rPr>
      </w:pPr>
      <w:r w:rsidRPr="001E37AC">
        <w:rPr>
          <w:rFonts w:ascii="Franklin Gothic Book" w:hAnsi="Franklin Gothic Book" w:cs="Arial"/>
          <w:bCs/>
        </w:rPr>
        <w:t xml:space="preserve">In accordance with NAACLS accreditation standards, applicants must possess a minimum of three (3) </w:t>
      </w:r>
      <w:r w:rsidR="00056276" w:rsidRPr="001E37AC">
        <w:rPr>
          <w:rFonts w:ascii="Franklin Gothic Book" w:hAnsi="Franklin Gothic Book" w:cs="Arial"/>
          <w:bCs/>
        </w:rPr>
        <w:t>years’</w:t>
      </w:r>
      <w:r w:rsidR="00056276">
        <w:rPr>
          <w:rFonts w:ascii="Franklin Gothic Book" w:hAnsi="Franklin Gothic Book" w:cs="Arial"/>
          <w:bCs/>
        </w:rPr>
        <w:t xml:space="preserve"> experience </w:t>
      </w:r>
      <w:r w:rsidRPr="001E37AC">
        <w:rPr>
          <w:rFonts w:ascii="Franklin Gothic Book" w:hAnsi="Franklin Gothic Book" w:cs="Arial"/>
          <w:bCs/>
        </w:rPr>
        <w:t xml:space="preserve">of </w:t>
      </w:r>
      <w:r w:rsidR="00056276">
        <w:rPr>
          <w:rFonts w:ascii="Franklin Gothic Book" w:hAnsi="Franklin Gothic Book" w:cs="Arial"/>
          <w:bCs/>
        </w:rPr>
        <w:t>classroom teaching, clinical instruction, or</w:t>
      </w:r>
      <w:r w:rsidRPr="001E37AC">
        <w:rPr>
          <w:rFonts w:ascii="Franklin Gothic Book" w:hAnsi="Franklin Gothic Book" w:cs="Arial"/>
          <w:bCs/>
        </w:rPr>
        <w:t xml:space="preserve"> clinical laboratory experience in areas such as clinical chemistry, hematology, microbiology, immunology, molecular diagnostics, or blood banking.</w:t>
      </w:r>
      <w:r>
        <w:rPr>
          <w:rFonts w:ascii="Franklin Gothic Book" w:hAnsi="Franklin Gothic Book" w:cs="Arial"/>
          <w:bCs/>
        </w:rPr>
        <w:t xml:space="preserve"> </w:t>
      </w:r>
      <w:r w:rsidRPr="001E37AC">
        <w:rPr>
          <w:rFonts w:ascii="Franklin Gothic Book" w:hAnsi="Franklin Gothic Book" w:cs="Arial"/>
          <w:bCs/>
        </w:rPr>
        <w:t>Applicants must demonstrate knowledge of contemporary clinical laboratory practices, laboratory safety standards, and quality assurance procedures consistent with CLIA regulations and current professional standards.</w:t>
      </w:r>
      <w:r w:rsidR="00D91AFC">
        <w:rPr>
          <w:rFonts w:ascii="Franklin Gothic Book" w:hAnsi="Franklin Gothic Book" w:cs="Arial"/>
          <w:bCs/>
        </w:rPr>
        <w:t xml:space="preserve"> Experience in teaching or clinical training/instruction. Program administration or leadership experience.</w:t>
      </w:r>
    </w:p>
    <w:p w14:paraId="783AE13A" w14:textId="77777777" w:rsidR="00CD1936" w:rsidRPr="00CC6408" w:rsidRDefault="00CD1936" w:rsidP="005526A9">
      <w:pPr>
        <w:autoSpaceDE w:val="0"/>
        <w:autoSpaceDN w:val="0"/>
        <w:adjustRightInd w:val="0"/>
        <w:rPr>
          <w:rFonts w:ascii="Franklin Gothic Book" w:hAnsi="Franklin Gothic Book" w:cs="Arial"/>
          <w:b/>
          <w:sz w:val="18"/>
          <w:szCs w:val="18"/>
        </w:rPr>
      </w:pPr>
    </w:p>
    <w:p w14:paraId="05DF7578"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68AA38C2" w14:textId="77777777" w:rsidR="006052F6" w:rsidRPr="006052F6" w:rsidRDefault="006052F6" w:rsidP="006052F6">
      <w:pPr>
        <w:rPr>
          <w:rFonts w:ascii="Franklin Gothic Book" w:hAnsi="Franklin Gothic Book" w:cs="Arial"/>
          <w:b/>
          <w:bCs/>
          <w:color w:val="1F4E79"/>
          <w:sz w:val="10"/>
          <w:szCs w:val="10"/>
        </w:rPr>
      </w:pPr>
    </w:p>
    <w:p w14:paraId="5328708F" w14:textId="10D3968D" w:rsidR="001E37AC" w:rsidRPr="001E37AC" w:rsidRDefault="001C593E" w:rsidP="005E1F99">
      <w:pPr>
        <w:rPr>
          <w:rFonts w:ascii="Franklin Gothic Book" w:hAnsi="Franklin Gothic Book" w:cs="Arial"/>
          <w:bCs/>
        </w:rPr>
      </w:pPr>
      <w:r w:rsidRPr="001E37AC">
        <w:rPr>
          <w:rFonts w:ascii="Franklin Gothic Book" w:hAnsi="Franklin Gothic Book" w:cs="Arial"/>
          <w:bCs/>
        </w:rPr>
        <w:t>To meet preferred qualifications, applicants must hold</w:t>
      </w:r>
      <w:r w:rsidR="00D91AFC">
        <w:rPr>
          <w:rFonts w:ascii="Franklin Gothic Book" w:hAnsi="Franklin Gothic Book" w:cs="Arial"/>
          <w:bCs/>
        </w:rPr>
        <w:t>, a</w:t>
      </w:r>
      <w:r w:rsidR="001E37AC" w:rsidRPr="001E37AC">
        <w:rPr>
          <w:rFonts w:ascii="Franklin Gothic Book" w:hAnsi="Franklin Gothic Book" w:cs="Arial"/>
          <w:bCs/>
        </w:rPr>
        <w:t xml:space="preserve"> </w:t>
      </w:r>
      <w:r w:rsidR="00056276">
        <w:rPr>
          <w:rFonts w:ascii="Franklin Gothic Book" w:hAnsi="Franklin Gothic Book" w:cs="Arial"/>
          <w:bCs/>
        </w:rPr>
        <w:t xml:space="preserve">Doctorate </w:t>
      </w:r>
      <w:r w:rsidR="001E37AC" w:rsidRPr="001E37AC">
        <w:rPr>
          <w:rFonts w:ascii="Franklin Gothic Book" w:hAnsi="Franklin Gothic Book" w:cs="Arial"/>
          <w:bCs/>
        </w:rPr>
        <w:t>degree in Medical Laboratory Science, Clinical Laboratory Science, Biology, Chemistry, Health Sciences, or a closely related field from a regionally accredited institution</w:t>
      </w:r>
      <w:r w:rsidR="001E37AC">
        <w:rPr>
          <w:rFonts w:ascii="Franklin Gothic Book" w:hAnsi="Franklin Gothic Book" w:cs="Arial"/>
          <w:bCs/>
        </w:rPr>
        <w:t xml:space="preserve">. </w:t>
      </w:r>
      <w:r w:rsidR="001E37AC" w:rsidRPr="001E37AC">
        <w:rPr>
          <w:rFonts w:ascii="Franklin Gothic Book" w:hAnsi="Franklin Gothic Book" w:cs="Arial"/>
          <w:bCs/>
        </w:rPr>
        <w:t xml:space="preserve"> Teaching experience in a NAACLS-accredited Medical Laboratory Technology or Medical Laboratory Science program</w:t>
      </w:r>
      <w:r w:rsidR="001E37AC">
        <w:rPr>
          <w:rFonts w:ascii="Franklin Gothic Book" w:hAnsi="Franklin Gothic Book" w:cs="Arial"/>
          <w:bCs/>
        </w:rPr>
        <w:t xml:space="preserve">. </w:t>
      </w:r>
      <w:r w:rsidR="001E37AC" w:rsidRPr="001E37AC">
        <w:rPr>
          <w:rFonts w:ascii="Franklin Gothic Book" w:hAnsi="Franklin Gothic Book" w:cs="Arial"/>
          <w:bCs/>
        </w:rPr>
        <w:t>Experience coordinating or supervising student clinical education in affiliated healthcare laboratories</w:t>
      </w:r>
      <w:r w:rsidR="001E37AC">
        <w:rPr>
          <w:rFonts w:ascii="Franklin Gothic Book" w:hAnsi="Franklin Gothic Book" w:cs="Arial"/>
          <w:bCs/>
        </w:rPr>
        <w:t xml:space="preserve">. </w:t>
      </w:r>
      <w:r w:rsidR="001E37AC" w:rsidRPr="001E37AC">
        <w:rPr>
          <w:rFonts w:ascii="Franklin Gothic Book" w:hAnsi="Franklin Gothic Book" w:cs="Arial"/>
          <w:bCs/>
        </w:rPr>
        <w:t>Experience with NAACLS accreditation standards, program assessment, and accreditation reporting processes</w:t>
      </w:r>
      <w:r w:rsidR="001E37AC">
        <w:rPr>
          <w:rFonts w:ascii="Franklin Gothic Book" w:hAnsi="Franklin Gothic Book" w:cs="Arial"/>
          <w:bCs/>
        </w:rPr>
        <w:t xml:space="preserve">. </w:t>
      </w:r>
      <w:r w:rsidR="001E37AC" w:rsidRPr="001E37AC">
        <w:rPr>
          <w:rFonts w:ascii="Franklin Gothic Book" w:hAnsi="Franklin Gothic Book" w:cs="Arial"/>
          <w:bCs/>
        </w:rPr>
        <w:t>Experience with clinical laboratory quality systems, regulatory compliance, and laboratory management</w:t>
      </w:r>
      <w:r w:rsidR="001E37AC">
        <w:rPr>
          <w:rFonts w:ascii="Franklin Gothic Book" w:hAnsi="Franklin Gothic Book" w:cs="Arial"/>
          <w:bCs/>
        </w:rPr>
        <w:t xml:space="preserve">. </w:t>
      </w:r>
      <w:r w:rsidR="001E37AC" w:rsidRPr="001E37AC">
        <w:rPr>
          <w:rFonts w:ascii="Franklin Gothic Book" w:hAnsi="Franklin Gothic Book" w:cs="Arial"/>
          <w:bCs/>
        </w:rPr>
        <w:t>Additional professional certifications in specialized laboratory areas such as microbiology, molecular diagnostics, hematology, or transfusion medicine</w:t>
      </w:r>
    </w:p>
    <w:p w14:paraId="450B75DD" w14:textId="77777777" w:rsidR="001E37AC" w:rsidRDefault="001E37AC" w:rsidP="005E1F99">
      <w:pPr>
        <w:rPr>
          <w:rFonts w:ascii="Franklin Gothic Book" w:hAnsi="Franklin Gothic Book" w:cs="Arial"/>
          <w:b/>
          <w:bCs/>
        </w:rPr>
      </w:pPr>
    </w:p>
    <w:p w14:paraId="65A562CF" w14:textId="77777777" w:rsidR="001E37AC" w:rsidRDefault="00D43C66" w:rsidP="001E37AC">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35728127" w14:textId="77777777" w:rsidR="00D91AFC" w:rsidRPr="00D91AFC" w:rsidRDefault="00D91AFC" w:rsidP="001E37AC">
      <w:pPr>
        <w:numPr>
          <w:ilvl w:val="0"/>
          <w:numId w:val="5"/>
        </w:numPr>
        <w:rPr>
          <w:rFonts w:ascii="Franklin Gothic Book" w:hAnsi="Franklin Gothic Book" w:cs="Arial"/>
          <w:color w:val="1F4E79"/>
          <w:sz w:val="20"/>
          <w:szCs w:val="20"/>
        </w:rPr>
      </w:pPr>
      <w:r>
        <w:rPr>
          <w:rFonts w:ascii="Franklin Gothic Book" w:hAnsi="Franklin Gothic Book" w:cs="Arial"/>
        </w:rPr>
        <w:t xml:space="preserve">Provide overall leadership and management of the MLT program </w:t>
      </w:r>
    </w:p>
    <w:p w14:paraId="63BC39A8" w14:textId="77777777" w:rsidR="00D91AFC" w:rsidRPr="00D91AFC" w:rsidRDefault="00D91AFC" w:rsidP="001E37AC">
      <w:pPr>
        <w:numPr>
          <w:ilvl w:val="0"/>
          <w:numId w:val="5"/>
        </w:numPr>
        <w:rPr>
          <w:rFonts w:ascii="Franklin Gothic Book" w:hAnsi="Franklin Gothic Book" w:cs="Arial"/>
          <w:color w:val="1F4E79"/>
          <w:sz w:val="20"/>
          <w:szCs w:val="20"/>
        </w:rPr>
      </w:pPr>
      <w:r>
        <w:rPr>
          <w:rFonts w:ascii="Franklin Gothic Book" w:hAnsi="Franklin Gothic Book" w:cs="Arial"/>
        </w:rPr>
        <w:t>Ensure full compliance with NAACLS accreditation standards</w:t>
      </w:r>
    </w:p>
    <w:p w14:paraId="37AE5D7D" w14:textId="095D84CC"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Teach on-campus, laboratory, and online courses within the Medical Laboratory Technology program, including both day and evening classes</w:t>
      </w:r>
    </w:p>
    <w:p w14:paraId="42DB5079"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Prepare lesson plans for classroom, laboratory, and online instruction</w:t>
      </w:r>
    </w:p>
    <w:p w14:paraId="20CB92FB" w14:textId="77777777" w:rsidR="001E37AC" w:rsidRPr="00D91AF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lastRenderedPageBreak/>
        <w:t>Develop and maintain course curriculum, syllabi, program goals, and learning objectives aligned with NAACLS competencies and industry standards</w:t>
      </w:r>
    </w:p>
    <w:p w14:paraId="6E51EB89" w14:textId="2DD83405" w:rsidR="00D91AFC" w:rsidRPr="001E37AC" w:rsidRDefault="00D91AFC" w:rsidP="001E37AC">
      <w:pPr>
        <w:numPr>
          <w:ilvl w:val="0"/>
          <w:numId w:val="5"/>
        </w:numPr>
        <w:rPr>
          <w:rFonts w:ascii="Franklin Gothic Book" w:hAnsi="Franklin Gothic Book" w:cs="Arial"/>
          <w:color w:val="1F4E79"/>
          <w:sz w:val="20"/>
          <w:szCs w:val="20"/>
        </w:rPr>
      </w:pPr>
      <w:r>
        <w:rPr>
          <w:rFonts w:ascii="Franklin Gothic Book" w:hAnsi="Franklin Gothic Book" w:cs="Arial"/>
        </w:rPr>
        <w:t>Develop and manage program budgets, equipment, and resources</w:t>
      </w:r>
    </w:p>
    <w:p w14:paraId="366BB4AD"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Provide instruction in laboratory disciplines including clinical chemistry, hematology, microbiology, immunology, urinalysis, and blood banking</w:t>
      </w:r>
    </w:p>
    <w:p w14:paraId="2BAC359B"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Supervise students during campus laboratory activities and clinical education experiences</w:t>
      </w:r>
    </w:p>
    <w:p w14:paraId="662D28B0"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Coordinate with clinical affiliates and healthcare partners to facilitate student clinical rotations</w:t>
      </w:r>
    </w:p>
    <w:p w14:paraId="26D4F122"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Evaluate students’ progress in achieving course and program objectives</w:t>
      </w:r>
    </w:p>
    <w:p w14:paraId="157BF0A6"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Assess student learning outcomes and program effectiveness</w:t>
      </w:r>
    </w:p>
    <w:p w14:paraId="5B15864F"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Maintain laboratory equipment, supplies, and instructional materials while ensuring compliance with laboratory safety and regulatory standards</w:t>
      </w:r>
    </w:p>
    <w:p w14:paraId="55B11B73"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Participate in program accreditation activities, advisory committee meetings, and continuous program improvement efforts</w:t>
      </w:r>
    </w:p>
    <w:p w14:paraId="7F016D03"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 xml:space="preserve"> Attend professional development training sessions and maintain professional certification</w:t>
      </w:r>
    </w:p>
    <w:p w14:paraId="55619843"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Participate in departmental, college, and state faculty meetings</w:t>
      </w:r>
    </w:p>
    <w:p w14:paraId="72BE7D00" w14:textId="77777777" w:rsidR="001E37AC"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Collaborate with internal and external healthcare stakeholders</w:t>
      </w:r>
    </w:p>
    <w:p w14:paraId="0F83F0BC" w14:textId="37E54CC2" w:rsidR="00D0097B" w:rsidRPr="001E37AC" w:rsidRDefault="001E37AC" w:rsidP="001E37AC">
      <w:pPr>
        <w:numPr>
          <w:ilvl w:val="0"/>
          <w:numId w:val="5"/>
        </w:numPr>
        <w:rPr>
          <w:rFonts w:ascii="Franklin Gothic Book" w:hAnsi="Franklin Gothic Book" w:cs="Arial"/>
          <w:color w:val="1F4E79"/>
          <w:sz w:val="20"/>
          <w:szCs w:val="20"/>
        </w:rPr>
      </w:pPr>
      <w:r w:rsidRPr="001E37AC">
        <w:rPr>
          <w:rFonts w:ascii="Franklin Gothic Book" w:hAnsi="Franklin Gothic Book" w:cs="Arial"/>
        </w:rPr>
        <w:t>Perform other duties and tasks as assigned</w:t>
      </w:r>
    </w:p>
    <w:p w14:paraId="53B70FFF" w14:textId="77777777" w:rsidR="00CD1936" w:rsidRPr="00CC6408" w:rsidRDefault="00CD1936" w:rsidP="00CD1936">
      <w:pPr>
        <w:autoSpaceDE w:val="0"/>
        <w:autoSpaceDN w:val="0"/>
        <w:adjustRightInd w:val="0"/>
        <w:rPr>
          <w:rFonts w:ascii="Franklin Gothic Book" w:eastAsia="Calibri" w:hAnsi="Franklin Gothic Book" w:cs="ArialMT"/>
          <w:sz w:val="18"/>
          <w:szCs w:val="18"/>
        </w:rPr>
      </w:pPr>
    </w:p>
    <w:p w14:paraId="30ED9037" w14:textId="77777777" w:rsidR="00D10D70" w:rsidRDefault="00D10D70" w:rsidP="00D10D70">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r>
        <w:rPr>
          <w:rFonts w:ascii="Franklin Gothic Book" w:hAnsi="Franklin Gothic Book" w:cs="Arial"/>
          <w:color w:val="1F4E79"/>
          <w:sz w:val="20"/>
          <w:szCs w:val="20"/>
        </w:rPr>
        <w:t xml:space="preserve"> </w:t>
      </w:r>
    </w:p>
    <w:p w14:paraId="24C25B02" w14:textId="77777777" w:rsidR="00CC6408" w:rsidRDefault="00CC6408" w:rsidP="00CC6408">
      <w:pPr>
        <w:autoSpaceDE w:val="0"/>
        <w:autoSpaceDN w:val="0"/>
        <w:adjustRightInd w:val="0"/>
        <w:rPr>
          <w:rFonts w:ascii="Franklin Gothic Book" w:hAnsi="Franklin Gothic Book" w:cs="Arial"/>
          <w:color w:val="1F4E79"/>
          <w:sz w:val="10"/>
          <w:szCs w:val="10"/>
        </w:rPr>
      </w:pPr>
    </w:p>
    <w:p w14:paraId="177D55CB" w14:textId="066ACDDB" w:rsidR="00CD1936" w:rsidRPr="001E37AC" w:rsidRDefault="001E37AC" w:rsidP="00CC6408">
      <w:pPr>
        <w:autoSpaceDE w:val="0"/>
        <w:autoSpaceDN w:val="0"/>
        <w:adjustRightInd w:val="0"/>
        <w:rPr>
          <w:rFonts w:ascii="Franklin Gothic Book" w:hAnsi="Franklin Gothic Book" w:cs="Arial"/>
          <w:color w:val="1F4E79"/>
          <w:sz w:val="18"/>
          <w:szCs w:val="18"/>
        </w:rPr>
      </w:pPr>
      <w:r w:rsidRPr="001E37AC">
        <w:rPr>
          <w:rFonts w:ascii="Franklin Gothic Book" w:hAnsi="Franklin Gothic Book"/>
        </w:rPr>
        <w:t>• Strong knowledge of clinical laboratory diagnostic testing and instrumentation</w:t>
      </w:r>
      <w:r w:rsidRPr="001E37AC">
        <w:rPr>
          <w:rFonts w:ascii="Franklin Gothic Book" w:hAnsi="Franklin Gothic Book"/>
        </w:rPr>
        <w:br/>
        <w:t>• Understanding of NAACLS accreditation standards and competency-based laboratory education</w:t>
      </w:r>
      <w:r w:rsidRPr="001E37AC">
        <w:rPr>
          <w:rFonts w:ascii="Franklin Gothic Book" w:hAnsi="Franklin Gothic Book"/>
        </w:rPr>
        <w:br/>
        <w:t>• Knowledge of CLIA regulations, laboratory safety protocols, and quality assurance practices</w:t>
      </w:r>
      <w:r w:rsidRPr="001E37AC">
        <w:rPr>
          <w:rFonts w:ascii="Franklin Gothic Book" w:hAnsi="Franklin Gothic Book"/>
        </w:rPr>
        <w:br/>
        <w:t>• Deep understanding of pedagogical practices and instructional strategies in laboratory education</w:t>
      </w:r>
      <w:r w:rsidRPr="001E37AC">
        <w:rPr>
          <w:rFonts w:ascii="Franklin Gothic Book" w:hAnsi="Franklin Gothic Book"/>
        </w:rPr>
        <w:br/>
        <w:t>• Knowledge of the mission and objectives of postsecondary technical education</w:t>
      </w:r>
      <w:r w:rsidRPr="001E37AC">
        <w:rPr>
          <w:rFonts w:ascii="Franklin Gothic Book" w:hAnsi="Franklin Gothic Book"/>
        </w:rPr>
        <w:br/>
        <w:t>• Familiarity with health sciences academic program standards</w:t>
      </w:r>
      <w:r w:rsidRPr="001E37AC">
        <w:rPr>
          <w:rFonts w:ascii="Franklin Gothic Book" w:hAnsi="Franklin Gothic Book"/>
        </w:rPr>
        <w:br/>
        <w:t>• Ability to collaborate effectively with students, faculty, healthcare partners, and staff</w:t>
      </w:r>
      <w:r w:rsidRPr="001E37AC">
        <w:rPr>
          <w:rFonts w:ascii="Franklin Gothic Book" w:hAnsi="Franklin Gothic Book"/>
        </w:rPr>
        <w:br/>
        <w:t>• Proficiency in preparing and delivering laboratory-based and classroom instruction</w:t>
      </w:r>
      <w:r w:rsidRPr="001E37AC">
        <w:rPr>
          <w:rFonts w:ascii="Franklin Gothic Book" w:hAnsi="Franklin Gothic Book"/>
        </w:rPr>
        <w:br/>
        <w:t>• Capability to supervise students in clinical and simulated laboratory environments</w:t>
      </w:r>
      <w:r w:rsidRPr="001E37AC">
        <w:rPr>
          <w:rFonts w:ascii="Franklin Gothic Book" w:hAnsi="Franklin Gothic Book"/>
        </w:rPr>
        <w:br/>
        <w:t>• Proficiency in using computers, laboratory information systems, and instructional technology</w:t>
      </w:r>
      <w:r w:rsidRPr="001E37AC">
        <w:rPr>
          <w:rFonts w:ascii="Franklin Gothic Book" w:hAnsi="Franklin Gothic Book"/>
        </w:rPr>
        <w:br/>
        <w:t>• Strong decision-making and problem-solving abilities</w:t>
      </w:r>
      <w:r w:rsidRPr="001E37AC">
        <w:rPr>
          <w:rFonts w:ascii="Franklin Gothic Book" w:hAnsi="Franklin Gothic Book"/>
        </w:rPr>
        <w:br/>
        <w:t>• Excellent interpersonal skills and ability to interact professionally with the public</w:t>
      </w:r>
      <w:r w:rsidRPr="001E37AC">
        <w:rPr>
          <w:rFonts w:ascii="Franklin Gothic Book" w:hAnsi="Franklin Gothic Book"/>
        </w:rPr>
        <w:br/>
        <w:t>• Superior oral and written communication skills</w:t>
      </w:r>
    </w:p>
    <w:p w14:paraId="3E50F7E8" w14:textId="77777777" w:rsidR="00C326BE" w:rsidRDefault="00C326BE" w:rsidP="00995E3C">
      <w:pPr>
        <w:rPr>
          <w:rFonts w:ascii="Franklin Gothic Book" w:hAnsi="Franklin Gothic Book" w:cs="Arial"/>
          <w:b/>
          <w:color w:val="1F4E79"/>
          <w:sz w:val="20"/>
          <w:szCs w:val="20"/>
        </w:rPr>
      </w:pPr>
    </w:p>
    <w:p w14:paraId="43434ABC"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b/>
          <w:bCs/>
          <w:color w:val="1F4E79"/>
          <w:sz w:val="20"/>
          <w:szCs w:val="20"/>
        </w:rPr>
        <w:t>SALARY: </w:t>
      </w:r>
      <w:r>
        <w:rPr>
          <w:rStyle w:val="normaltextrun"/>
          <w:rFonts w:ascii="Franklin Gothic Book" w:hAnsi="Franklin Gothic Book" w:cs="Segoe UI"/>
          <w:color w:val="1F4E79"/>
          <w:sz w:val="20"/>
          <w:szCs w:val="20"/>
        </w:rPr>
        <w:t> </w:t>
      </w:r>
      <w:r>
        <w:rPr>
          <w:rStyle w:val="eop"/>
          <w:rFonts w:ascii="Franklin Gothic Book" w:hAnsi="Franklin Gothic Book" w:cs="Segoe UI"/>
          <w:color w:val="1F4E79"/>
          <w:sz w:val="20"/>
          <w:szCs w:val="20"/>
        </w:rPr>
        <w:t> </w:t>
      </w:r>
    </w:p>
    <w:p w14:paraId="0796E4C5"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1F4E79"/>
          <w:sz w:val="10"/>
          <w:szCs w:val="10"/>
        </w:rPr>
        <w:t> </w:t>
      </w:r>
    </w:p>
    <w:p w14:paraId="42D2FE35" w14:textId="77777777" w:rsidR="00333F49" w:rsidRDefault="00333F49" w:rsidP="00333F49">
      <w:pPr>
        <w:pStyle w:val="paragraph"/>
        <w:spacing w:before="0" w:beforeAutospacing="0" w:after="0" w:afterAutospacing="0"/>
        <w:jc w:val="both"/>
        <w:textAlignment w:val="baseline"/>
        <w:rPr>
          <w:rStyle w:val="normaltextrun"/>
          <w:rFonts w:ascii="Franklin Gothic Book" w:hAnsi="Franklin Gothic Book" w:cs="Segoe UI"/>
        </w:rPr>
      </w:pPr>
      <w:r>
        <w:rPr>
          <w:rStyle w:val="normaltextrun"/>
          <w:rFonts w:ascii="Franklin Gothic Book" w:hAnsi="Franklin Gothic Book" w:cs="Segoe UI"/>
        </w:rPr>
        <w:t>Salary commensurate with education and work experience. Benefits include paid state holidays, paid annual and sick leave, and the State of Georgia Flexible Benefits Program.</w:t>
      </w:r>
    </w:p>
    <w:p w14:paraId="336F0A47" w14:textId="77777777" w:rsidR="00333F49" w:rsidRDefault="00333F49" w:rsidP="00333F49">
      <w:pPr>
        <w:pStyle w:val="paragraph"/>
        <w:spacing w:before="0" w:beforeAutospacing="0" w:after="0" w:afterAutospacing="0"/>
        <w:jc w:val="both"/>
        <w:textAlignment w:val="baseline"/>
        <w:rPr>
          <w:rFonts w:ascii="Segoe UI" w:hAnsi="Segoe UI" w:cs="Segoe UI"/>
          <w:sz w:val="18"/>
          <w:szCs w:val="18"/>
        </w:rPr>
      </w:pPr>
      <w:r>
        <w:rPr>
          <w:rStyle w:val="eop"/>
          <w:rFonts w:ascii="Franklin Gothic Book" w:hAnsi="Franklin Gothic Book" w:cs="Segoe UI"/>
        </w:rPr>
        <w:t> </w:t>
      </w:r>
    </w:p>
    <w:p w14:paraId="3D880CAB" w14:textId="1BEDA3AA" w:rsidR="00333F49" w:rsidRDefault="00333F49" w:rsidP="00333F49">
      <w:pPr>
        <w:pStyle w:val="paragraph"/>
        <w:spacing w:before="0" w:beforeAutospacing="0" w:after="0" w:afterAutospacing="0"/>
        <w:textAlignment w:val="baseline"/>
        <w:rPr>
          <w:rStyle w:val="normaltextrun"/>
          <w:rFonts w:ascii="Franklin Gothic Book" w:hAnsi="Franklin Gothic Book" w:cs="Segoe UI"/>
          <w:b/>
          <w:bCs/>
          <w:color w:val="1F4E79"/>
          <w:sz w:val="20"/>
          <w:szCs w:val="20"/>
        </w:rPr>
      </w:pPr>
      <w:r>
        <w:rPr>
          <w:rStyle w:val="eop"/>
          <w:rFonts w:ascii="Franklin Gothic Book" w:hAnsi="Franklin Gothic Book" w:cs="Segoe UI"/>
          <w:sz w:val="16"/>
          <w:szCs w:val="16"/>
        </w:rPr>
        <w:t> </w:t>
      </w:r>
    </w:p>
    <w:p w14:paraId="275ACE9E"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b/>
          <w:bCs/>
          <w:color w:val="1F4E79"/>
          <w:sz w:val="20"/>
          <w:szCs w:val="20"/>
        </w:rPr>
        <w:t>SPECIAL NOTES:</w:t>
      </w:r>
      <w:r>
        <w:rPr>
          <w:rStyle w:val="normaltextrun"/>
          <w:rFonts w:ascii="Franklin Gothic Book" w:hAnsi="Franklin Gothic Book" w:cs="Segoe UI"/>
          <w:color w:val="1F4E79"/>
          <w:sz w:val="20"/>
          <w:szCs w:val="20"/>
        </w:rPr>
        <w:t> </w:t>
      </w:r>
      <w:r>
        <w:rPr>
          <w:rStyle w:val="eop"/>
          <w:rFonts w:ascii="Franklin Gothic Book" w:hAnsi="Franklin Gothic Book" w:cs="Segoe UI"/>
          <w:color w:val="1F4E79"/>
          <w:sz w:val="20"/>
          <w:szCs w:val="20"/>
        </w:rPr>
        <w:t> </w:t>
      </w:r>
    </w:p>
    <w:p w14:paraId="61B55CB6" w14:textId="77777777" w:rsidR="00333F49" w:rsidRDefault="00333F49" w:rsidP="00333F49">
      <w:pPr>
        <w:pStyle w:val="paragraph"/>
        <w:spacing w:before="0" w:beforeAutospacing="0" w:after="0" w:afterAutospacing="0"/>
        <w:textAlignment w:val="baseline"/>
        <w:rPr>
          <w:rStyle w:val="normaltextrun"/>
          <w:rFonts w:ascii="Franklin Gothic Book" w:hAnsi="Franklin Gothic Book" w:cs="Segoe UI"/>
          <w:color w:val="000000"/>
        </w:rPr>
      </w:pPr>
    </w:p>
    <w:p w14:paraId="05B29FBE" w14:textId="77777777" w:rsidR="00333F49" w:rsidRDefault="00333F49" w:rsidP="00333F49">
      <w:pPr>
        <w:widowControl w:val="0"/>
        <w:autoSpaceDE w:val="0"/>
        <w:autoSpaceDN w:val="0"/>
        <w:adjustRightInd w:val="0"/>
        <w:jc w:val="both"/>
        <w:rPr>
          <w:rStyle w:val="normaltextrun"/>
          <w:rFonts w:ascii="Franklin Gothic Book" w:hAnsi="Franklin Gothic Book" w:cs="Segoe UI"/>
          <w:color w:val="000000"/>
        </w:rPr>
      </w:pPr>
      <w:r>
        <w:rPr>
          <w:rFonts w:ascii="Franklin Gothic Book" w:hAnsi="Franklin Gothic Book" w:cs="Arial"/>
          <w:iCs/>
        </w:rPr>
        <w:t xml:space="preserve">While faculty members will be assigned a home campus, some travel between campuses may be required. </w:t>
      </w:r>
    </w:p>
    <w:p w14:paraId="30A6E589" w14:textId="77777777" w:rsidR="00333F49" w:rsidRDefault="00333F49" w:rsidP="00333F49">
      <w:pPr>
        <w:pStyle w:val="paragraph"/>
        <w:spacing w:before="0" w:beforeAutospacing="0" w:after="0" w:afterAutospacing="0"/>
        <w:textAlignment w:val="baseline"/>
        <w:rPr>
          <w:rStyle w:val="normaltextrun"/>
          <w:rFonts w:ascii="Franklin Gothic Book" w:hAnsi="Franklin Gothic Book" w:cs="Segoe UI"/>
          <w:color w:val="000000"/>
        </w:rPr>
      </w:pPr>
    </w:p>
    <w:p w14:paraId="0DC08460"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t>It shall be a condition of employment to submit to a background investigation. Offers of employment shall be conditional pending the result of the background investigation.</w:t>
      </w:r>
      <w:r>
        <w:rPr>
          <w:rStyle w:val="eop"/>
          <w:rFonts w:ascii="Franklin Gothic Book" w:hAnsi="Franklin Gothic Book" w:cs="Segoe UI"/>
          <w:color w:val="000000"/>
        </w:rPr>
        <w:t> </w:t>
      </w:r>
    </w:p>
    <w:p w14:paraId="2DA314EB" w14:textId="77777777" w:rsidR="00333F49" w:rsidRDefault="00333F49" w:rsidP="00333F49">
      <w:pPr>
        <w:pStyle w:val="paragraph"/>
        <w:spacing w:before="0" w:beforeAutospacing="0" w:after="0" w:afterAutospacing="0"/>
        <w:textAlignment w:val="baseline"/>
        <w:rPr>
          <w:rStyle w:val="normaltextrun"/>
          <w:rFonts w:ascii="Franklin Gothic Book" w:hAnsi="Franklin Gothic Book" w:cs="Segoe UI"/>
          <w:color w:val="000000"/>
        </w:rPr>
      </w:pPr>
    </w:p>
    <w:p w14:paraId="64663E21"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t>Federal Law requires ID and eligibility verification prior to employment.</w:t>
      </w:r>
      <w:r>
        <w:rPr>
          <w:rStyle w:val="eop"/>
          <w:rFonts w:ascii="Franklin Gothic Book" w:hAnsi="Franklin Gothic Book" w:cs="Segoe UI"/>
          <w:color w:val="000000"/>
        </w:rPr>
        <w:t> </w:t>
      </w:r>
    </w:p>
    <w:p w14:paraId="416A721F" w14:textId="77777777" w:rsidR="00333F49" w:rsidRDefault="00333F49" w:rsidP="00333F49">
      <w:pPr>
        <w:pStyle w:val="paragraph"/>
        <w:spacing w:before="0" w:beforeAutospacing="0" w:after="0" w:afterAutospacing="0"/>
        <w:textAlignment w:val="baseline"/>
        <w:rPr>
          <w:rStyle w:val="normaltextrun"/>
          <w:rFonts w:ascii="Franklin Gothic Book" w:hAnsi="Franklin Gothic Book" w:cs="Segoe UI"/>
          <w:color w:val="000000"/>
        </w:rPr>
      </w:pPr>
    </w:p>
    <w:p w14:paraId="2BA8EBF3"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t>All male U.S. citizens, and male aliens living in the U.S., who are ages 18 through 25, are required to register for the military draft and must present proof of Selective Service Registration upon employment.</w:t>
      </w:r>
      <w:r>
        <w:rPr>
          <w:rStyle w:val="eop"/>
          <w:rFonts w:ascii="Franklin Gothic Book" w:hAnsi="Franklin Gothic Book" w:cs="Segoe UI"/>
          <w:color w:val="000000"/>
        </w:rPr>
        <w:t> </w:t>
      </w:r>
    </w:p>
    <w:p w14:paraId="0A709735" w14:textId="77777777" w:rsidR="00333F49" w:rsidRDefault="00333F49" w:rsidP="00333F49">
      <w:pPr>
        <w:pStyle w:val="paragraph"/>
        <w:spacing w:before="0" w:beforeAutospacing="0" w:after="0" w:afterAutospacing="0"/>
        <w:textAlignment w:val="baseline"/>
        <w:rPr>
          <w:rStyle w:val="normaltextrun"/>
          <w:rFonts w:ascii="Franklin Gothic Book" w:hAnsi="Franklin Gothic Book" w:cs="Segoe UI"/>
          <w:color w:val="000000"/>
        </w:rPr>
      </w:pPr>
    </w:p>
    <w:p w14:paraId="1C657C23"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lastRenderedPageBreak/>
        <w:t>Applicants who need special assistance may request assistance by phoning (770) 229-3454.</w:t>
      </w:r>
      <w:r>
        <w:rPr>
          <w:rStyle w:val="eop"/>
          <w:rFonts w:ascii="Franklin Gothic Book" w:hAnsi="Franklin Gothic Book" w:cs="Segoe UI"/>
          <w:color w:val="000000"/>
        </w:rPr>
        <w:t> </w:t>
      </w:r>
    </w:p>
    <w:p w14:paraId="7C5800CF" w14:textId="77777777" w:rsidR="00333F49" w:rsidRDefault="00333F49" w:rsidP="00333F49">
      <w:pPr>
        <w:pStyle w:val="paragraph"/>
        <w:spacing w:before="0" w:beforeAutospacing="0" w:after="0" w:afterAutospacing="0"/>
        <w:textAlignment w:val="baseline"/>
        <w:rPr>
          <w:rStyle w:val="normaltextrun"/>
          <w:rFonts w:ascii="Franklin Gothic Book" w:hAnsi="Franklin Gothic Book" w:cs="Segoe UI"/>
          <w:color w:val="000000"/>
        </w:rPr>
      </w:pPr>
    </w:p>
    <w:p w14:paraId="57240AF2"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t>Position contingent upon receiving sufficient funding.</w:t>
      </w:r>
      <w:r>
        <w:rPr>
          <w:rStyle w:val="eop"/>
          <w:rFonts w:ascii="Franklin Gothic Book" w:hAnsi="Franklin Gothic Book" w:cs="Segoe UI"/>
          <w:color w:val="000000"/>
        </w:rPr>
        <w:t> </w:t>
      </w:r>
    </w:p>
    <w:p w14:paraId="1CC4C899" w14:textId="77777777" w:rsidR="00333F49" w:rsidRDefault="00333F49" w:rsidP="00333F49">
      <w:pPr>
        <w:pStyle w:val="paragraph"/>
        <w:spacing w:before="0" w:beforeAutospacing="0" w:after="0" w:afterAutospacing="0"/>
        <w:textAlignment w:val="baseline"/>
        <w:rPr>
          <w:rStyle w:val="normaltextrun"/>
          <w:rFonts w:ascii="Franklin Gothic Book" w:hAnsi="Franklin Gothic Book" w:cs="Segoe UI"/>
          <w:color w:val="000000"/>
        </w:rPr>
      </w:pPr>
    </w:p>
    <w:p w14:paraId="44505186"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t>Applicants scheduled for interviews will be notified of the status of the position.</w:t>
      </w:r>
      <w:r>
        <w:rPr>
          <w:rStyle w:val="eop"/>
          <w:rFonts w:ascii="Franklin Gothic Book" w:hAnsi="Franklin Gothic Book" w:cs="Segoe UI"/>
          <w:color w:val="000000"/>
        </w:rPr>
        <w:t> </w:t>
      </w:r>
    </w:p>
    <w:p w14:paraId="58546782"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000000"/>
        </w:rPr>
        <w:t> </w:t>
      </w:r>
    </w:p>
    <w:p w14:paraId="3913BA4C"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000000"/>
        </w:rPr>
        <w:t> </w:t>
      </w:r>
    </w:p>
    <w:p w14:paraId="44DEC7CE"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000000"/>
        </w:rPr>
        <w:t> </w:t>
      </w:r>
    </w:p>
    <w:p w14:paraId="31A40DA4" w14:textId="77777777" w:rsidR="00333F49" w:rsidRDefault="00333F49" w:rsidP="00333F49">
      <w:pPr>
        <w:pStyle w:val="paragraph"/>
        <w:spacing w:before="0" w:beforeAutospacing="0" w:after="0" w:afterAutospacing="0"/>
        <w:textAlignment w:val="baseline"/>
        <w:rPr>
          <w:rStyle w:val="eop"/>
          <w:rFonts w:ascii="Franklin Gothic Book" w:hAnsi="Franklin Gothic Book" w:cs="Segoe UI"/>
          <w:color w:val="000000"/>
        </w:rPr>
      </w:pPr>
      <w:r>
        <w:rPr>
          <w:rStyle w:val="eop"/>
          <w:rFonts w:ascii="Franklin Gothic Book" w:hAnsi="Franklin Gothic Book" w:cs="Segoe UI"/>
          <w:color w:val="000000"/>
        </w:rPr>
        <w:t> </w:t>
      </w:r>
    </w:p>
    <w:p w14:paraId="7DAC2451"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p>
    <w:p w14:paraId="4FFA2C2A"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p>
    <w:p w14:paraId="4B7D2119"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p>
    <w:p w14:paraId="1A6B8DC2"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p>
    <w:p w14:paraId="2B29FE81"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p>
    <w:p w14:paraId="05156918"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p>
    <w:p w14:paraId="216D631C"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000000"/>
        </w:rPr>
        <w:t> </w:t>
      </w:r>
    </w:p>
    <w:p w14:paraId="7C7FF525"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Pr>
          <w:rStyle w:val="eop"/>
          <w:rFonts w:ascii="Franklin Gothic Book" w:hAnsi="Franklin Gothic Book" w:cs="Segoe UI"/>
          <w:color w:val="000000"/>
          <w:sz w:val="20"/>
          <w:szCs w:val="20"/>
        </w:rPr>
        <w:t> </w:t>
      </w:r>
    </w:p>
    <w:p w14:paraId="53EC93B0"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14:paraId="35EA9B88" w14:textId="77777777" w:rsidR="00C326BE" w:rsidRDefault="00C326BE" w:rsidP="00995E3C">
      <w:pPr>
        <w:rPr>
          <w:rFonts w:ascii="Franklin Gothic Book" w:hAnsi="Franklin Gothic Book" w:cs="Arial"/>
          <w:b/>
          <w:color w:val="1F4E79"/>
          <w:sz w:val="20"/>
          <w:szCs w:val="20"/>
        </w:rPr>
      </w:pPr>
    </w:p>
    <w:p w14:paraId="045D8D06" w14:textId="77777777" w:rsidR="00C326BE" w:rsidRDefault="00C326BE" w:rsidP="00995E3C">
      <w:pPr>
        <w:rPr>
          <w:rFonts w:ascii="Franklin Gothic Book" w:hAnsi="Franklin Gothic Book" w:cs="Arial"/>
          <w:b/>
          <w:color w:val="1F4E79"/>
          <w:sz w:val="20"/>
          <w:szCs w:val="20"/>
        </w:rPr>
      </w:pPr>
    </w:p>
    <w:p w14:paraId="13F7BFC7" w14:textId="77777777" w:rsidR="00C326BE" w:rsidRDefault="00C326BE" w:rsidP="00995E3C">
      <w:pPr>
        <w:rPr>
          <w:rFonts w:ascii="Franklin Gothic Book" w:hAnsi="Franklin Gothic Book" w:cs="Arial"/>
          <w:b/>
          <w:color w:val="1F4E79"/>
          <w:sz w:val="20"/>
          <w:szCs w:val="20"/>
        </w:rPr>
      </w:pPr>
    </w:p>
    <w:p w14:paraId="2284E94C" w14:textId="77777777" w:rsidR="00C326BE" w:rsidRDefault="00C326BE" w:rsidP="00995E3C">
      <w:pPr>
        <w:rPr>
          <w:rFonts w:ascii="Franklin Gothic Book" w:hAnsi="Franklin Gothic Book" w:cs="Arial"/>
          <w:b/>
          <w:color w:val="1F4E79"/>
          <w:sz w:val="20"/>
          <w:szCs w:val="20"/>
        </w:rPr>
      </w:pPr>
    </w:p>
    <w:p w14:paraId="5FF6BE55" w14:textId="77777777" w:rsidR="00C326BE" w:rsidRDefault="00C326BE" w:rsidP="00995E3C">
      <w:pPr>
        <w:rPr>
          <w:rFonts w:ascii="Franklin Gothic Book" w:hAnsi="Franklin Gothic Book" w:cs="Arial"/>
          <w:b/>
          <w:color w:val="1F4E79"/>
          <w:sz w:val="20"/>
          <w:szCs w:val="20"/>
        </w:rPr>
      </w:pPr>
    </w:p>
    <w:p w14:paraId="17F0A5C9" w14:textId="77777777" w:rsidR="00C326BE" w:rsidRDefault="00C326BE" w:rsidP="00995E3C">
      <w:pPr>
        <w:rPr>
          <w:rFonts w:ascii="Franklin Gothic Book" w:hAnsi="Franklin Gothic Book" w:cs="Arial"/>
          <w:b/>
          <w:color w:val="1F4E79"/>
          <w:sz w:val="20"/>
          <w:szCs w:val="20"/>
        </w:rPr>
      </w:pPr>
    </w:p>
    <w:p w14:paraId="0614E0DF" w14:textId="77777777" w:rsidR="00C326BE" w:rsidRDefault="00C326BE" w:rsidP="00995E3C">
      <w:pPr>
        <w:rPr>
          <w:rFonts w:ascii="Franklin Gothic Book" w:hAnsi="Franklin Gothic Book" w:cs="Arial"/>
          <w:b/>
          <w:color w:val="1F4E79"/>
          <w:sz w:val="20"/>
          <w:szCs w:val="20"/>
        </w:rPr>
      </w:pPr>
    </w:p>
    <w:p w14:paraId="6A037E1C" w14:textId="77777777" w:rsidR="00C326BE" w:rsidRDefault="00C326BE" w:rsidP="00995E3C">
      <w:pPr>
        <w:rPr>
          <w:rFonts w:ascii="Franklin Gothic Book" w:hAnsi="Franklin Gothic Book" w:cs="Arial"/>
          <w:b/>
          <w:color w:val="1F4E79"/>
          <w:sz w:val="20"/>
          <w:szCs w:val="20"/>
        </w:rPr>
      </w:pPr>
    </w:p>
    <w:sectPr w:rsidR="00C326BE"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CE75" w14:textId="77777777" w:rsidR="00890957" w:rsidRDefault="00890957" w:rsidP="00D43C66">
      <w:r>
        <w:separator/>
      </w:r>
    </w:p>
  </w:endnote>
  <w:endnote w:type="continuationSeparator" w:id="0">
    <w:p w14:paraId="36E3B3D2" w14:textId="77777777" w:rsidR="00890957" w:rsidRDefault="00890957"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8FC3"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298A07B4"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539A" w14:textId="77777777" w:rsidR="00890957" w:rsidRDefault="00890957" w:rsidP="00D43C66">
      <w:r>
        <w:separator/>
      </w:r>
    </w:p>
  </w:footnote>
  <w:footnote w:type="continuationSeparator" w:id="0">
    <w:p w14:paraId="6353DFCC" w14:textId="77777777" w:rsidR="00890957" w:rsidRDefault="00890957"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A43"/>
    <w:multiLevelType w:val="multilevel"/>
    <w:tmpl w:val="4C9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538D9"/>
    <w:multiLevelType w:val="multilevel"/>
    <w:tmpl w:val="237C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5E6B99"/>
    <w:multiLevelType w:val="hybridMultilevel"/>
    <w:tmpl w:val="444E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F381D"/>
    <w:multiLevelType w:val="hybridMultilevel"/>
    <w:tmpl w:val="F93C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823754">
    <w:abstractNumId w:val="4"/>
  </w:num>
  <w:num w:numId="2" w16cid:durableId="2132700184">
    <w:abstractNumId w:val="3"/>
  </w:num>
  <w:num w:numId="3" w16cid:durableId="872813917">
    <w:abstractNumId w:val="1"/>
  </w:num>
  <w:num w:numId="4" w16cid:durableId="980887621">
    <w:abstractNumId w:val="0"/>
  </w:num>
  <w:num w:numId="5" w16cid:durableId="894004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56276"/>
    <w:rsid w:val="000730A4"/>
    <w:rsid w:val="00083D03"/>
    <w:rsid w:val="000A5C9C"/>
    <w:rsid w:val="000C6864"/>
    <w:rsid w:val="000D634C"/>
    <w:rsid w:val="001405F1"/>
    <w:rsid w:val="00170E21"/>
    <w:rsid w:val="001C593E"/>
    <w:rsid w:val="001E1A3C"/>
    <w:rsid w:val="001E37AC"/>
    <w:rsid w:val="001F21BD"/>
    <w:rsid w:val="001F30CE"/>
    <w:rsid w:val="00212F75"/>
    <w:rsid w:val="00225E13"/>
    <w:rsid w:val="00267001"/>
    <w:rsid w:val="002770AD"/>
    <w:rsid w:val="00287414"/>
    <w:rsid w:val="00290A7B"/>
    <w:rsid w:val="00294D0E"/>
    <w:rsid w:val="002D3BC1"/>
    <w:rsid w:val="0030069F"/>
    <w:rsid w:val="00333F49"/>
    <w:rsid w:val="00365762"/>
    <w:rsid w:val="00365FAD"/>
    <w:rsid w:val="00373CF6"/>
    <w:rsid w:val="003A0A9F"/>
    <w:rsid w:val="003D3E67"/>
    <w:rsid w:val="003D5C37"/>
    <w:rsid w:val="00402CB8"/>
    <w:rsid w:val="00404D7C"/>
    <w:rsid w:val="004631B4"/>
    <w:rsid w:val="004754A5"/>
    <w:rsid w:val="004761C3"/>
    <w:rsid w:val="00482C5A"/>
    <w:rsid w:val="004C00A6"/>
    <w:rsid w:val="004C0F94"/>
    <w:rsid w:val="00515B4A"/>
    <w:rsid w:val="005526A9"/>
    <w:rsid w:val="005536CB"/>
    <w:rsid w:val="00556547"/>
    <w:rsid w:val="00594E9E"/>
    <w:rsid w:val="005E1F99"/>
    <w:rsid w:val="00602052"/>
    <w:rsid w:val="006052F6"/>
    <w:rsid w:val="00653568"/>
    <w:rsid w:val="00655BA3"/>
    <w:rsid w:val="0067386F"/>
    <w:rsid w:val="006D4FFA"/>
    <w:rsid w:val="00712029"/>
    <w:rsid w:val="00736511"/>
    <w:rsid w:val="00752CDB"/>
    <w:rsid w:val="00761BFB"/>
    <w:rsid w:val="0077659E"/>
    <w:rsid w:val="007A6DF6"/>
    <w:rsid w:val="007A7204"/>
    <w:rsid w:val="007B46DE"/>
    <w:rsid w:val="007C0855"/>
    <w:rsid w:val="007C1475"/>
    <w:rsid w:val="007C2620"/>
    <w:rsid w:val="007C5481"/>
    <w:rsid w:val="00824C93"/>
    <w:rsid w:val="00847CDD"/>
    <w:rsid w:val="00861F8E"/>
    <w:rsid w:val="008739D7"/>
    <w:rsid w:val="008861FC"/>
    <w:rsid w:val="0089046D"/>
    <w:rsid w:val="00890957"/>
    <w:rsid w:val="00895B28"/>
    <w:rsid w:val="008C4CC5"/>
    <w:rsid w:val="00900E89"/>
    <w:rsid w:val="0091022D"/>
    <w:rsid w:val="00934BE8"/>
    <w:rsid w:val="009404E1"/>
    <w:rsid w:val="00970A5E"/>
    <w:rsid w:val="00973852"/>
    <w:rsid w:val="0098134E"/>
    <w:rsid w:val="00995E3C"/>
    <w:rsid w:val="009D78A5"/>
    <w:rsid w:val="009F10A9"/>
    <w:rsid w:val="00A013A8"/>
    <w:rsid w:val="00A12D22"/>
    <w:rsid w:val="00A21398"/>
    <w:rsid w:val="00A21BA6"/>
    <w:rsid w:val="00A24D24"/>
    <w:rsid w:val="00A27A57"/>
    <w:rsid w:val="00A33FB2"/>
    <w:rsid w:val="00A420E7"/>
    <w:rsid w:val="00A577DA"/>
    <w:rsid w:val="00A854B5"/>
    <w:rsid w:val="00AA69AE"/>
    <w:rsid w:val="00AD0E27"/>
    <w:rsid w:val="00AE5250"/>
    <w:rsid w:val="00AE66DA"/>
    <w:rsid w:val="00AF5E3B"/>
    <w:rsid w:val="00AF79B3"/>
    <w:rsid w:val="00B06AED"/>
    <w:rsid w:val="00BE0D59"/>
    <w:rsid w:val="00C02A9B"/>
    <w:rsid w:val="00C07DCB"/>
    <w:rsid w:val="00C1300B"/>
    <w:rsid w:val="00C21E8C"/>
    <w:rsid w:val="00C31027"/>
    <w:rsid w:val="00C326BE"/>
    <w:rsid w:val="00C436DB"/>
    <w:rsid w:val="00C6746F"/>
    <w:rsid w:val="00C70B4C"/>
    <w:rsid w:val="00CA367A"/>
    <w:rsid w:val="00CA62D8"/>
    <w:rsid w:val="00CC4133"/>
    <w:rsid w:val="00CC6408"/>
    <w:rsid w:val="00CC683F"/>
    <w:rsid w:val="00CD1936"/>
    <w:rsid w:val="00CE67BF"/>
    <w:rsid w:val="00CF5B8F"/>
    <w:rsid w:val="00D00146"/>
    <w:rsid w:val="00D00804"/>
    <w:rsid w:val="00D0097B"/>
    <w:rsid w:val="00D10D70"/>
    <w:rsid w:val="00D1363E"/>
    <w:rsid w:val="00D37F73"/>
    <w:rsid w:val="00D42F5D"/>
    <w:rsid w:val="00D43C66"/>
    <w:rsid w:val="00D50D46"/>
    <w:rsid w:val="00D66AED"/>
    <w:rsid w:val="00D87E4E"/>
    <w:rsid w:val="00D91AFC"/>
    <w:rsid w:val="00D921E3"/>
    <w:rsid w:val="00DB5BE6"/>
    <w:rsid w:val="00DC36AC"/>
    <w:rsid w:val="00E01B99"/>
    <w:rsid w:val="00E03D1A"/>
    <w:rsid w:val="00E075FD"/>
    <w:rsid w:val="00E43580"/>
    <w:rsid w:val="00E5127E"/>
    <w:rsid w:val="00E87F6E"/>
    <w:rsid w:val="00EC07A9"/>
    <w:rsid w:val="00EC1F1A"/>
    <w:rsid w:val="00EE63BC"/>
    <w:rsid w:val="00EF74C9"/>
    <w:rsid w:val="00F04E7D"/>
    <w:rsid w:val="00F076C2"/>
    <w:rsid w:val="00F1053A"/>
    <w:rsid w:val="00F15129"/>
    <w:rsid w:val="00F17EAB"/>
    <w:rsid w:val="00F25C57"/>
    <w:rsid w:val="00F53D5E"/>
    <w:rsid w:val="00FA2D8C"/>
    <w:rsid w:val="00FA7BC3"/>
    <w:rsid w:val="00FC5548"/>
    <w:rsid w:val="00FC607D"/>
    <w:rsid w:val="00FC66A6"/>
    <w:rsid w:val="00FD74B7"/>
    <w:rsid w:val="00FE1BE8"/>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2AAB8"/>
  <w15:chartTrackingRefBased/>
  <w15:docId w15:val="{45C1F70B-33B4-401D-B7A1-613B5130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333F49"/>
    <w:pPr>
      <w:spacing w:before="100" w:beforeAutospacing="1" w:after="100" w:afterAutospacing="1"/>
    </w:pPr>
  </w:style>
  <w:style w:type="character" w:customStyle="1" w:styleId="normaltextrun">
    <w:name w:val="normaltextrun"/>
    <w:rsid w:val="00333F49"/>
  </w:style>
  <w:style w:type="character" w:customStyle="1" w:styleId="eop">
    <w:name w:val="eop"/>
    <w:rsid w:val="0033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695">
      <w:bodyDiv w:val="1"/>
      <w:marLeft w:val="0"/>
      <w:marRight w:val="0"/>
      <w:marTop w:val="0"/>
      <w:marBottom w:val="0"/>
      <w:divBdr>
        <w:top w:val="none" w:sz="0" w:space="0" w:color="auto"/>
        <w:left w:val="none" w:sz="0" w:space="0" w:color="auto"/>
        <w:bottom w:val="none" w:sz="0" w:space="0" w:color="auto"/>
        <w:right w:val="none" w:sz="0" w:space="0" w:color="auto"/>
      </w:divBdr>
    </w:div>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 w:id="1764760413">
      <w:bodyDiv w:val="1"/>
      <w:marLeft w:val="0"/>
      <w:marRight w:val="0"/>
      <w:marTop w:val="0"/>
      <w:marBottom w:val="0"/>
      <w:divBdr>
        <w:top w:val="none" w:sz="0" w:space="0" w:color="auto"/>
        <w:left w:val="none" w:sz="0" w:space="0" w:color="auto"/>
        <w:bottom w:val="none" w:sz="0" w:space="0" w:color="auto"/>
        <w:right w:val="none" w:sz="0" w:space="0" w:color="auto"/>
      </w:divBdr>
      <w:divsChild>
        <w:div w:id="11340769">
          <w:marLeft w:val="0"/>
          <w:marRight w:val="0"/>
          <w:marTop w:val="0"/>
          <w:marBottom w:val="0"/>
          <w:divBdr>
            <w:top w:val="none" w:sz="0" w:space="0" w:color="auto"/>
            <w:left w:val="none" w:sz="0" w:space="0" w:color="auto"/>
            <w:bottom w:val="none" w:sz="0" w:space="0" w:color="auto"/>
            <w:right w:val="none" w:sz="0" w:space="0" w:color="auto"/>
          </w:divBdr>
        </w:div>
        <w:div w:id="66001287">
          <w:marLeft w:val="0"/>
          <w:marRight w:val="0"/>
          <w:marTop w:val="0"/>
          <w:marBottom w:val="0"/>
          <w:divBdr>
            <w:top w:val="none" w:sz="0" w:space="0" w:color="auto"/>
            <w:left w:val="none" w:sz="0" w:space="0" w:color="auto"/>
            <w:bottom w:val="none" w:sz="0" w:space="0" w:color="auto"/>
            <w:right w:val="none" w:sz="0" w:space="0" w:color="auto"/>
          </w:divBdr>
        </w:div>
        <w:div w:id="250507347">
          <w:marLeft w:val="0"/>
          <w:marRight w:val="0"/>
          <w:marTop w:val="0"/>
          <w:marBottom w:val="0"/>
          <w:divBdr>
            <w:top w:val="none" w:sz="0" w:space="0" w:color="auto"/>
            <w:left w:val="none" w:sz="0" w:space="0" w:color="auto"/>
            <w:bottom w:val="none" w:sz="0" w:space="0" w:color="auto"/>
            <w:right w:val="none" w:sz="0" w:space="0" w:color="auto"/>
          </w:divBdr>
        </w:div>
        <w:div w:id="518667791">
          <w:marLeft w:val="0"/>
          <w:marRight w:val="0"/>
          <w:marTop w:val="0"/>
          <w:marBottom w:val="0"/>
          <w:divBdr>
            <w:top w:val="none" w:sz="0" w:space="0" w:color="auto"/>
            <w:left w:val="none" w:sz="0" w:space="0" w:color="auto"/>
            <w:bottom w:val="none" w:sz="0" w:space="0" w:color="auto"/>
            <w:right w:val="none" w:sz="0" w:space="0" w:color="auto"/>
          </w:divBdr>
        </w:div>
        <w:div w:id="525367617">
          <w:marLeft w:val="0"/>
          <w:marRight w:val="0"/>
          <w:marTop w:val="0"/>
          <w:marBottom w:val="0"/>
          <w:divBdr>
            <w:top w:val="none" w:sz="0" w:space="0" w:color="auto"/>
            <w:left w:val="none" w:sz="0" w:space="0" w:color="auto"/>
            <w:bottom w:val="none" w:sz="0" w:space="0" w:color="auto"/>
            <w:right w:val="none" w:sz="0" w:space="0" w:color="auto"/>
          </w:divBdr>
        </w:div>
        <w:div w:id="600795885">
          <w:marLeft w:val="0"/>
          <w:marRight w:val="0"/>
          <w:marTop w:val="0"/>
          <w:marBottom w:val="0"/>
          <w:divBdr>
            <w:top w:val="none" w:sz="0" w:space="0" w:color="auto"/>
            <w:left w:val="none" w:sz="0" w:space="0" w:color="auto"/>
            <w:bottom w:val="none" w:sz="0" w:space="0" w:color="auto"/>
            <w:right w:val="none" w:sz="0" w:space="0" w:color="auto"/>
          </w:divBdr>
        </w:div>
        <w:div w:id="806511972">
          <w:marLeft w:val="0"/>
          <w:marRight w:val="0"/>
          <w:marTop w:val="0"/>
          <w:marBottom w:val="0"/>
          <w:divBdr>
            <w:top w:val="none" w:sz="0" w:space="0" w:color="auto"/>
            <w:left w:val="none" w:sz="0" w:space="0" w:color="auto"/>
            <w:bottom w:val="none" w:sz="0" w:space="0" w:color="auto"/>
            <w:right w:val="none" w:sz="0" w:space="0" w:color="auto"/>
          </w:divBdr>
        </w:div>
        <w:div w:id="893396955">
          <w:marLeft w:val="0"/>
          <w:marRight w:val="0"/>
          <w:marTop w:val="0"/>
          <w:marBottom w:val="0"/>
          <w:divBdr>
            <w:top w:val="none" w:sz="0" w:space="0" w:color="auto"/>
            <w:left w:val="none" w:sz="0" w:space="0" w:color="auto"/>
            <w:bottom w:val="none" w:sz="0" w:space="0" w:color="auto"/>
            <w:right w:val="none" w:sz="0" w:space="0" w:color="auto"/>
          </w:divBdr>
        </w:div>
        <w:div w:id="971441879">
          <w:marLeft w:val="0"/>
          <w:marRight w:val="0"/>
          <w:marTop w:val="0"/>
          <w:marBottom w:val="0"/>
          <w:divBdr>
            <w:top w:val="none" w:sz="0" w:space="0" w:color="auto"/>
            <w:left w:val="none" w:sz="0" w:space="0" w:color="auto"/>
            <w:bottom w:val="none" w:sz="0" w:space="0" w:color="auto"/>
            <w:right w:val="none" w:sz="0" w:space="0" w:color="auto"/>
          </w:divBdr>
        </w:div>
        <w:div w:id="1195926833">
          <w:marLeft w:val="0"/>
          <w:marRight w:val="0"/>
          <w:marTop w:val="0"/>
          <w:marBottom w:val="0"/>
          <w:divBdr>
            <w:top w:val="none" w:sz="0" w:space="0" w:color="auto"/>
            <w:left w:val="none" w:sz="0" w:space="0" w:color="auto"/>
            <w:bottom w:val="none" w:sz="0" w:space="0" w:color="auto"/>
            <w:right w:val="none" w:sz="0" w:space="0" w:color="auto"/>
          </w:divBdr>
        </w:div>
        <w:div w:id="1288312758">
          <w:marLeft w:val="0"/>
          <w:marRight w:val="0"/>
          <w:marTop w:val="0"/>
          <w:marBottom w:val="0"/>
          <w:divBdr>
            <w:top w:val="none" w:sz="0" w:space="0" w:color="auto"/>
            <w:left w:val="none" w:sz="0" w:space="0" w:color="auto"/>
            <w:bottom w:val="none" w:sz="0" w:space="0" w:color="auto"/>
            <w:right w:val="none" w:sz="0" w:space="0" w:color="auto"/>
          </w:divBdr>
        </w:div>
        <w:div w:id="1296905633">
          <w:marLeft w:val="0"/>
          <w:marRight w:val="0"/>
          <w:marTop w:val="0"/>
          <w:marBottom w:val="0"/>
          <w:divBdr>
            <w:top w:val="none" w:sz="0" w:space="0" w:color="auto"/>
            <w:left w:val="none" w:sz="0" w:space="0" w:color="auto"/>
            <w:bottom w:val="none" w:sz="0" w:space="0" w:color="auto"/>
            <w:right w:val="none" w:sz="0" w:space="0" w:color="auto"/>
          </w:divBdr>
        </w:div>
        <w:div w:id="1416778878">
          <w:marLeft w:val="0"/>
          <w:marRight w:val="0"/>
          <w:marTop w:val="0"/>
          <w:marBottom w:val="0"/>
          <w:divBdr>
            <w:top w:val="none" w:sz="0" w:space="0" w:color="auto"/>
            <w:left w:val="none" w:sz="0" w:space="0" w:color="auto"/>
            <w:bottom w:val="none" w:sz="0" w:space="0" w:color="auto"/>
            <w:right w:val="none" w:sz="0" w:space="0" w:color="auto"/>
          </w:divBdr>
        </w:div>
        <w:div w:id="1464539521">
          <w:marLeft w:val="0"/>
          <w:marRight w:val="0"/>
          <w:marTop w:val="0"/>
          <w:marBottom w:val="0"/>
          <w:divBdr>
            <w:top w:val="none" w:sz="0" w:space="0" w:color="auto"/>
            <w:left w:val="none" w:sz="0" w:space="0" w:color="auto"/>
            <w:bottom w:val="none" w:sz="0" w:space="0" w:color="auto"/>
            <w:right w:val="none" w:sz="0" w:space="0" w:color="auto"/>
          </w:divBdr>
        </w:div>
        <w:div w:id="1477407673">
          <w:marLeft w:val="0"/>
          <w:marRight w:val="0"/>
          <w:marTop w:val="0"/>
          <w:marBottom w:val="0"/>
          <w:divBdr>
            <w:top w:val="none" w:sz="0" w:space="0" w:color="auto"/>
            <w:left w:val="none" w:sz="0" w:space="0" w:color="auto"/>
            <w:bottom w:val="none" w:sz="0" w:space="0" w:color="auto"/>
            <w:right w:val="none" w:sz="0" w:space="0" w:color="auto"/>
          </w:divBdr>
        </w:div>
        <w:div w:id="1501895119">
          <w:marLeft w:val="0"/>
          <w:marRight w:val="0"/>
          <w:marTop w:val="0"/>
          <w:marBottom w:val="0"/>
          <w:divBdr>
            <w:top w:val="none" w:sz="0" w:space="0" w:color="auto"/>
            <w:left w:val="none" w:sz="0" w:space="0" w:color="auto"/>
            <w:bottom w:val="none" w:sz="0" w:space="0" w:color="auto"/>
            <w:right w:val="none" w:sz="0" w:space="0" w:color="auto"/>
          </w:divBdr>
        </w:div>
        <w:div w:id="1965650717">
          <w:marLeft w:val="0"/>
          <w:marRight w:val="0"/>
          <w:marTop w:val="0"/>
          <w:marBottom w:val="0"/>
          <w:divBdr>
            <w:top w:val="none" w:sz="0" w:space="0" w:color="auto"/>
            <w:left w:val="none" w:sz="0" w:space="0" w:color="auto"/>
            <w:bottom w:val="none" w:sz="0" w:space="0" w:color="auto"/>
            <w:right w:val="none" w:sz="0" w:space="0" w:color="auto"/>
          </w:divBdr>
        </w:div>
        <w:div w:id="1995990892">
          <w:marLeft w:val="0"/>
          <w:marRight w:val="0"/>
          <w:marTop w:val="0"/>
          <w:marBottom w:val="0"/>
          <w:divBdr>
            <w:top w:val="none" w:sz="0" w:space="0" w:color="auto"/>
            <w:left w:val="none" w:sz="0" w:space="0" w:color="auto"/>
            <w:bottom w:val="none" w:sz="0" w:space="0" w:color="auto"/>
            <w:right w:val="none" w:sz="0" w:space="0" w:color="auto"/>
          </w:divBdr>
        </w:div>
      </w:divsChild>
    </w:div>
    <w:div w:id="1768034975">
      <w:bodyDiv w:val="1"/>
      <w:marLeft w:val="0"/>
      <w:marRight w:val="0"/>
      <w:marTop w:val="0"/>
      <w:marBottom w:val="0"/>
      <w:divBdr>
        <w:top w:val="none" w:sz="0" w:space="0" w:color="auto"/>
        <w:left w:val="none" w:sz="0" w:space="0" w:color="auto"/>
        <w:bottom w:val="none" w:sz="0" w:space="0" w:color="auto"/>
        <w:right w:val="none" w:sz="0" w:space="0" w:color="auto"/>
      </w:divBdr>
    </w:div>
    <w:div w:id="1942225525">
      <w:bodyDiv w:val="1"/>
      <w:marLeft w:val="0"/>
      <w:marRight w:val="0"/>
      <w:marTop w:val="0"/>
      <w:marBottom w:val="0"/>
      <w:divBdr>
        <w:top w:val="none" w:sz="0" w:space="0" w:color="auto"/>
        <w:left w:val="none" w:sz="0" w:space="0" w:color="auto"/>
        <w:bottom w:val="none" w:sz="0" w:space="0" w:color="auto"/>
        <w:right w:val="none" w:sz="0" w:space="0" w:color="auto"/>
      </w:divBdr>
      <w:divsChild>
        <w:div w:id="1400130255">
          <w:marLeft w:val="0"/>
          <w:marRight w:val="0"/>
          <w:marTop w:val="0"/>
          <w:marBottom w:val="0"/>
          <w:divBdr>
            <w:top w:val="none" w:sz="0" w:space="0" w:color="auto"/>
            <w:left w:val="none" w:sz="0" w:space="0" w:color="auto"/>
            <w:bottom w:val="none" w:sz="0" w:space="0" w:color="auto"/>
            <w:right w:val="none" w:sz="0" w:space="0" w:color="auto"/>
          </w:divBdr>
          <w:divsChild>
            <w:div w:id="1870334849">
              <w:marLeft w:val="0"/>
              <w:marRight w:val="0"/>
              <w:marTop w:val="0"/>
              <w:marBottom w:val="0"/>
              <w:divBdr>
                <w:top w:val="none" w:sz="0" w:space="0" w:color="auto"/>
                <w:left w:val="none" w:sz="0" w:space="0" w:color="auto"/>
                <w:bottom w:val="none" w:sz="0" w:space="0" w:color="auto"/>
                <w:right w:val="none" w:sz="0" w:space="0" w:color="auto"/>
              </w:divBdr>
              <w:divsChild>
                <w:div w:id="1619291693">
                  <w:marLeft w:val="0"/>
                  <w:marRight w:val="0"/>
                  <w:marTop w:val="0"/>
                  <w:marBottom w:val="0"/>
                  <w:divBdr>
                    <w:top w:val="none" w:sz="0" w:space="0" w:color="auto"/>
                    <w:left w:val="none" w:sz="0" w:space="0" w:color="auto"/>
                    <w:bottom w:val="none" w:sz="0" w:space="0" w:color="auto"/>
                    <w:right w:val="none" w:sz="0" w:space="0" w:color="auto"/>
                  </w:divBdr>
                  <w:divsChild>
                    <w:div w:id="2020309550">
                      <w:marLeft w:val="0"/>
                      <w:marRight w:val="0"/>
                      <w:marTop w:val="0"/>
                      <w:marBottom w:val="0"/>
                      <w:divBdr>
                        <w:top w:val="none" w:sz="0" w:space="0" w:color="auto"/>
                        <w:left w:val="none" w:sz="0" w:space="0" w:color="auto"/>
                        <w:bottom w:val="none" w:sz="0" w:space="0" w:color="auto"/>
                        <w:right w:val="none" w:sz="0" w:space="0" w:color="auto"/>
                      </w:divBdr>
                      <w:divsChild>
                        <w:div w:id="11196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88213-06DD-4415-927A-9EEFF8C63B82}">
  <ds:schemaRefs>
    <ds:schemaRef ds:uri="http://schemas.openxmlformats.org/officeDocument/2006/bibliography"/>
  </ds:schemaRefs>
</ds:datastoreItem>
</file>

<file path=customXml/itemProps2.xml><?xml version="1.0" encoding="utf-8"?>
<ds:datastoreItem xmlns:ds="http://schemas.openxmlformats.org/officeDocument/2006/customXml" ds:itemID="{D2CD9627-60D1-4866-8CCC-3AE8DA5A2D53}">
  <ds:schemaRefs>
    <ds:schemaRef ds:uri="http://schemas.microsoft.com/office/2006/metadata/properties"/>
    <ds:schemaRef ds:uri="http://schemas.microsoft.com/office/infopath/2007/PartnerControls"/>
    <ds:schemaRef ds:uri="0a5b52b7-10ae-4748-bad4-1a40c4b59909"/>
  </ds:schemaRefs>
</ds:datastoreItem>
</file>

<file path=customXml/itemProps3.xml><?xml version="1.0" encoding="utf-8"?>
<ds:datastoreItem xmlns:ds="http://schemas.openxmlformats.org/officeDocument/2006/customXml" ds:itemID="{35152DF2-43F9-4E2E-8C0E-34EECFD44BA7}">
  <ds:schemaRefs>
    <ds:schemaRef ds:uri="http://schemas.microsoft.com/sharepoint/v3/contenttype/forms"/>
  </ds:schemaRefs>
</ds:datastoreItem>
</file>

<file path=customXml/itemProps4.xml><?xml version="1.0" encoding="utf-8"?>
<ds:datastoreItem xmlns:ds="http://schemas.openxmlformats.org/officeDocument/2006/customXml" ds:itemID="{1BC47EB4-6FB1-42CE-AE05-E21BD9D1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6478</Characters>
  <Application>Microsoft Office Word</Application>
  <DocSecurity>0</DocSecurity>
  <Lines>137</Lines>
  <Paragraphs>46</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3</cp:revision>
  <cp:lastPrinted>2026-04-13T15:47:00Z</cp:lastPrinted>
  <dcterms:created xsi:type="dcterms:W3CDTF">2026-04-13T15:52:00Z</dcterms:created>
  <dcterms:modified xsi:type="dcterms:W3CDTF">2026-04-13T15:52:00Z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2c334457ebdf4a86771431a9211e0cb4a07b36fa0891ea0d5a01059481621c6d</vt:lpwstr>
  </property>
  <property fmtid="{D5CDD505-2E9C-101B-9397-08002B2CF9AE}" pid="3" name="ContentTypeId">
    <vt:lpwstr>0x01010015B50C2D5668B2488E76439FBDC69E31</vt:lpwstr>
  </property>
</Properties>
</file>