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D1" w:rsidRDefault="00D31ED1" w:rsidP="00D31ED1">
      <w:pPr>
        <w:jc w:val="center"/>
        <w:rPr>
          <w:rFonts w:ascii="Arial" w:hAnsi="Arial" w:cs="Arial"/>
          <w:b/>
          <w:sz w:val="20"/>
        </w:rPr>
      </w:pPr>
      <w:bookmarkStart w:id="0" w:name="_GoBack"/>
      <w:bookmarkEnd w:id="0"/>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7978C0" w:rsidP="00D31ED1">
      <w:pPr>
        <w:jc w:val="center"/>
        <w:rPr>
          <w:rFonts w:ascii="Arial" w:hAnsi="Arial" w:cs="Arial"/>
          <w:b/>
          <w:sz w:val="20"/>
        </w:rPr>
      </w:pPr>
      <w:r>
        <w:rPr>
          <w:noProof/>
        </w:rPr>
        <w:drawing>
          <wp:inline distT="0" distB="0" distL="0" distR="0" wp14:anchorId="3D495708" wp14:editId="3101A5E3">
            <wp:extent cx="2219325" cy="13620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421E3A">
        <w:rPr>
          <w:rFonts w:ascii="Arial" w:hAnsi="Arial" w:cs="Arial"/>
          <w:sz w:val="20"/>
          <w:szCs w:val="20"/>
        </w:rPr>
        <w:t>Math</w:t>
      </w:r>
      <w:r w:rsidR="00321D95">
        <w:rPr>
          <w:rFonts w:ascii="Arial" w:hAnsi="Arial" w:cs="Arial"/>
          <w:sz w:val="20"/>
          <w:szCs w:val="20"/>
        </w:rPr>
        <w:t xml:space="preserve"> </w:t>
      </w:r>
      <w:r w:rsidR="009F6C09">
        <w:rPr>
          <w:rFonts w:ascii="Arial" w:hAnsi="Arial" w:cs="Arial"/>
          <w:sz w:val="20"/>
          <w:szCs w:val="20"/>
        </w:rPr>
        <w:t>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2541BE">
        <w:rPr>
          <w:rFonts w:ascii="Arial" w:hAnsi="Arial" w:cs="Arial"/>
          <w:bCs/>
          <w:sz w:val="20"/>
          <w:szCs w:val="20"/>
        </w:rPr>
        <w:t>Douglasville - Carrollton</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421E3A">
        <w:rPr>
          <w:rFonts w:ascii="Arial" w:hAnsi="Arial" w:cs="Arial"/>
          <w:sz w:val="20"/>
          <w:szCs w:val="20"/>
        </w:rPr>
        <w:t>mathematics</w:t>
      </w:r>
      <w:r w:rsidRPr="00321D95">
        <w:rPr>
          <w:rFonts w:ascii="Arial" w:hAnsi="Arial" w:cs="Arial"/>
          <w:sz w:val="20"/>
          <w:szCs w:val="20"/>
        </w:rPr>
        <w:t xml:space="preserve">. Assists in maintaining an effective learning environment. Tutors and assists students individually and in groups in a learning environment </w:t>
      </w:r>
    </w:p>
    <w:p w:rsidR="00321D95" w:rsidRDefault="00321D95" w:rsidP="00D31ED1">
      <w:pPr>
        <w:rPr>
          <w:rStyle w:val="Strong"/>
          <w:rFonts w:ascii="Arial" w:hAnsi="Arial" w:cs="Arial"/>
          <w:color w:val="000000"/>
          <w:sz w:val="20"/>
          <w:szCs w:val="20"/>
        </w:rPr>
      </w:pPr>
    </w:p>
    <w:p w:rsidR="00D31ED1"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r w:rsidR="007978C0" w:rsidRPr="007978C0">
        <w:rPr>
          <w:rStyle w:val="Strong"/>
          <w:rFonts w:ascii="Arial" w:hAnsi="Arial" w:cs="Arial"/>
          <w:b w:val="0"/>
          <w:sz w:val="20"/>
          <w:szCs w:val="20"/>
        </w:rPr>
        <w:t>Current technical college student with an overall GPA of 3.0 and minimum GPA of 3.0 in College Algebra or outside applicant that demonstrates the ability and experience in the Math field</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7978C0" w:rsidRDefault="007978C0" w:rsidP="007978C0">
      <w:pPr>
        <w:rPr>
          <w:rFonts w:ascii="Arial" w:hAnsi="Arial" w:cs="Arial"/>
          <w:sz w:val="20"/>
          <w:szCs w:val="20"/>
        </w:rPr>
      </w:pPr>
      <w:proofErr w:type="spellStart"/>
      <w:r>
        <w:rPr>
          <w:rFonts w:ascii="Arial" w:hAnsi="Arial" w:cs="Arial"/>
          <w:sz w:val="20"/>
          <w:szCs w:val="20"/>
        </w:rPr>
        <w:t>Bachelors</w:t>
      </w:r>
      <w:proofErr w:type="spellEnd"/>
      <w:r w:rsidRPr="00321D95">
        <w:rPr>
          <w:rFonts w:ascii="Arial" w:hAnsi="Arial" w:cs="Arial"/>
          <w:sz w:val="20"/>
          <w:szCs w:val="20"/>
        </w:rPr>
        <w:t xml:space="preserve"> degree in </w:t>
      </w:r>
      <w:r>
        <w:rPr>
          <w:rFonts w:ascii="Arial" w:hAnsi="Arial" w:cs="Arial"/>
          <w:sz w:val="20"/>
          <w:szCs w:val="20"/>
        </w:rPr>
        <w:t>Mathematics</w:t>
      </w:r>
      <w:r w:rsidRPr="00321D95">
        <w:rPr>
          <w:rFonts w:ascii="Arial" w:hAnsi="Arial" w:cs="Arial"/>
          <w:sz w:val="20"/>
          <w:szCs w:val="20"/>
        </w:rPr>
        <w:t xml:space="preserve"> or related teaching discipline. </w:t>
      </w:r>
    </w:p>
    <w:p w:rsidR="007978C0" w:rsidRDefault="007978C0" w:rsidP="007978C0">
      <w:pPr>
        <w:rPr>
          <w:rFonts w:ascii="Arial" w:hAnsi="Arial" w:cs="Arial"/>
          <w:sz w:val="20"/>
          <w:szCs w:val="20"/>
        </w:rPr>
      </w:pPr>
      <w:r>
        <w:rPr>
          <w:rFonts w:ascii="Arial" w:hAnsi="Arial" w:cs="Arial"/>
          <w:sz w:val="20"/>
          <w:szCs w:val="20"/>
        </w:rPr>
        <w:t>Demonstrates ability and experience in the subject of Mathematics</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Pr>
          <w:rFonts w:ascii="Arial" w:hAnsi="Arial" w:cs="Arial"/>
          <w:sz w:val="20"/>
          <w:szCs w:val="20"/>
        </w:rPr>
        <w:t>Mathematics</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 xml:space="preserve">Various hours Monday – Thursday. </w:t>
      </w:r>
      <w:r w:rsidR="00D0636E">
        <w:rPr>
          <w:rFonts w:ascii="Arial" w:hAnsi="Arial" w:cs="Arial"/>
          <w:sz w:val="20"/>
          <w:szCs w:val="20"/>
        </w:rPr>
        <w:t>10</w:t>
      </w:r>
      <w:r w:rsidRPr="00456A8A">
        <w:rPr>
          <w:rFonts w:ascii="Arial" w:hAnsi="Arial" w:cs="Arial"/>
          <w:sz w:val="20"/>
          <w:szCs w:val="20"/>
        </w:rPr>
        <w:t xml:space="preserve"> – </w:t>
      </w:r>
      <w:r w:rsidR="00D0636E">
        <w:rPr>
          <w:rFonts w:ascii="Arial" w:hAnsi="Arial" w:cs="Arial"/>
          <w:sz w:val="20"/>
          <w:szCs w:val="20"/>
        </w:rPr>
        <w:t>12</w:t>
      </w:r>
      <w:r w:rsidRPr="00456A8A">
        <w:rPr>
          <w:rFonts w:ascii="Arial" w:hAnsi="Arial" w:cs="Arial"/>
          <w:sz w:val="20"/>
          <w:szCs w:val="20"/>
        </w:rPr>
        <w:t xml:space="preserve"> hours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321D95">
        <w:rPr>
          <w:rFonts w:ascii="Arial" w:hAnsi="Arial" w:cs="Arial"/>
          <w:color w:val="000000"/>
          <w:sz w:val="20"/>
          <w:szCs w:val="20"/>
        </w:rPr>
        <w:t xml:space="preserve"> $20</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053982"/>
    <w:rsid w:val="002541BE"/>
    <w:rsid w:val="00321D95"/>
    <w:rsid w:val="00421E3A"/>
    <w:rsid w:val="004603E1"/>
    <w:rsid w:val="007978C0"/>
    <w:rsid w:val="008E4BBB"/>
    <w:rsid w:val="009241E2"/>
    <w:rsid w:val="009839BB"/>
    <w:rsid w:val="009F6C09"/>
    <w:rsid w:val="00B73E76"/>
    <w:rsid w:val="00BC3F5E"/>
    <w:rsid w:val="00D0636E"/>
    <w:rsid w:val="00D31ED1"/>
    <w:rsid w:val="00E1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 w:type="paragraph" w:styleId="BalloonText">
    <w:name w:val="Balloon Text"/>
    <w:basedOn w:val="Normal"/>
    <w:link w:val="BalloonTextChar"/>
    <w:uiPriority w:val="99"/>
    <w:semiHidden/>
    <w:unhideWhenUsed/>
    <w:rsid w:val="00053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9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Griffin, Rae</cp:lastModifiedBy>
  <cp:revision>2</cp:revision>
  <cp:lastPrinted>2018-07-19T18:49:00Z</cp:lastPrinted>
  <dcterms:created xsi:type="dcterms:W3CDTF">2018-07-19T18:50:00Z</dcterms:created>
  <dcterms:modified xsi:type="dcterms:W3CDTF">2018-07-19T18:50:00Z</dcterms:modified>
</cp:coreProperties>
</file>